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F1A5" w14:textId="613B689F" w:rsidR="00B9786C" w:rsidRPr="00FD1249" w:rsidRDefault="00B9786C" w:rsidP="00B9786C">
      <w:pPr>
        <w:jc w:val="center"/>
        <w:rPr>
          <w:rFonts w:ascii="Calibri" w:hAnsi="Calibri" w:cs="Calibri"/>
          <w:b/>
          <w:bCs/>
          <w:u w:val="single"/>
        </w:rPr>
      </w:pPr>
      <w:r w:rsidRPr="00FD1249">
        <w:rPr>
          <w:rFonts w:ascii="Calibri" w:hAnsi="Calibri" w:cs="Calibri"/>
          <w:b/>
          <w:bCs/>
          <w:u w:val="single"/>
        </w:rPr>
        <w:t>Key Highlights of the 202</w:t>
      </w:r>
      <w:r>
        <w:rPr>
          <w:rFonts w:ascii="Calibri" w:hAnsi="Calibri" w:cs="Calibri"/>
          <w:b/>
          <w:bCs/>
          <w:u w:val="single"/>
          <w:lang w:val="en-US"/>
        </w:rPr>
        <w:t>2</w:t>
      </w:r>
      <w:r w:rsidRPr="00FD1249">
        <w:rPr>
          <w:rFonts w:ascii="Calibri" w:hAnsi="Calibri" w:cs="Calibri"/>
          <w:b/>
          <w:bCs/>
          <w:u w:val="single"/>
        </w:rPr>
        <w:t xml:space="preserve"> Solid Minerals Audit Export</w:t>
      </w:r>
    </w:p>
    <w:p w14:paraId="5BD612AA" w14:textId="51E45C2F" w:rsidR="00B9786C" w:rsidRPr="002053A6" w:rsidRDefault="00B9786C" w:rsidP="00B9786C">
      <w:pPr>
        <w:rPr>
          <w:rFonts w:ascii="Calibri" w:hAnsi="Calibri" w:cs="Calibri"/>
          <w:b/>
          <w:bCs/>
          <w:u w:val="single"/>
        </w:rPr>
      </w:pPr>
    </w:p>
    <w:tbl>
      <w:tblPr>
        <w:tblW w:w="5000" w:type="pct"/>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00" w:firstRow="0" w:lastRow="0" w:firstColumn="0" w:lastColumn="0" w:noHBand="0" w:noVBand="1"/>
      </w:tblPr>
      <w:tblGrid>
        <w:gridCol w:w="1938"/>
        <w:gridCol w:w="7527"/>
      </w:tblGrid>
      <w:tr w:rsidR="00B9786C" w:rsidRPr="002053A6" w14:paraId="519BC854" w14:textId="77777777" w:rsidTr="002E7B49">
        <w:trPr>
          <w:trHeight w:val="20"/>
        </w:trPr>
        <w:tc>
          <w:tcPr>
            <w:tcW w:w="1011" w:type="pct"/>
            <w:shd w:val="clear" w:color="auto" w:fill="C5E0B3"/>
          </w:tcPr>
          <w:p w14:paraId="3E96D894" w14:textId="77777777" w:rsidR="00B9786C" w:rsidRPr="002053A6" w:rsidRDefault="00B9786C" w:rsidP="002E7B49">
            <w:pPr>
              <w:jc w:val="center"/>
              <w:rPr>
                <w:rFonts w:ascii="Calibri" w:eastAsia="Gentium Basic" w:hAnsi="Calibri" w:cs="Calibri"/>
                <w:b/>
              </w:rPr>
            </w:pPr>
            <w:r w:rsidRPr="002053A6">
              <w:rPr>
                <w:rFonts w:ascii="Calibri" w:eastAsia="Gentium Basic" w:hAnsi="Calibri" w:cs="Calibri"/>
                <w:b/>
              </w:rPr>
              <w:t>COUNTRY</w:t>
            </w:r>
          </w:p>
        </w:tc>
        <w:tc>
          <w:tcPr>
            <w:tcW w:w="3989" w:type="pct"/>
            <w:shd w:val="clear" w:color="auto" w:fill="C5E0B3"/>
          </w:tcPr>
          <w:p w14:paraId="3BFF70EB" w14:textId="77777777" w:rsidR="00B9786C" w:rsidRPr="002053A6" w:rsidRDefault="00B9786C" w:rsidP="002E7B49">
            <w:pPr>
              <w:jc w:val="center"/>
              <w:rPr>
                <w:rFonts w:ascii="Calibri" w:eastAsia="Gentium Basic" w:hAnsi="Calibri" w:cs="Calibri"/>
                <w:b/>
              </w:rPr>
            </w:pPr>
            <w:r w:rsidRPr="002053A6">
              <w:rPr>
                <w:rFonts w:ascii="Calibri" w:eastAsia="Gentium Basic" w:hAnsi="Calibri" w:cs="Calibri"/>
                <w:b/>
              </w:rPr>
              <w:t>Nigeria</w:t>
            </w:r>
          </w:p>
        </w:tc>
      </w:tr>
      <w:tr w:rsidR="00B9786C" w:rsidRPr="002053A6" w14:paraId="1DFDF4EC" w14:textId="77777777" w:rsidTr="002E7B49">
        <w:trPr>
          <w:trHeight w:val="20"/>
        </w:trPr>
        <w:tc>
          <w:tcPr>
            <w:tcW w:w="1011" w:type="pct"/>
          </w:tcPr>
          <w:p w14:paraId="60611A00"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FISCAL PERIOD COVERED</w:t>
            </w:r>
          </w:p>
        </w:tc>
        <w:tc>
          <w:tcPr>
            <w:tcW w:w="3989" w:type="pct"/>
          </w:tcPr>
          <w:p w14:paraId="082F69E4"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2022</w:t>
            </w:r>
          </w:p>
        </w:tc>
      </w:tr>
      <w:tr w:rsidR="00B9786C" w:rsidRPr="002053A6" w14:paraId="46C61531" w14:textId="77777777" w:rsidTr="002E7B49">
        <w:trPr>
          <w:trHeight w:val="20"/>
        </w:trPr>
        <w:tc>
          <w:tcPr>
            <w:tcW w:w="1011" w:type="pct"/>
          </w:tcPr>
          <w:p w14:paraId="32A9B1D7"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SECTORS COVERED</w:t>
            </w:r>
          </w:p>
        </w:tc>
        <w:tc>
          <w:tcPr>
            <w:tcW w:w="3989" w:type="pct"/>
          </w:tcPr>
          <w:p w14:paraId="3318501C"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Solid Minerals (Financial, Physical and Process audit)</w:t>
            </w:r>
          </w:p>
        </w:tc>
      </w:tr>
      <w:tr w:rsidR="00B9786C" w:rsidRPr="002053A6" w14:paraId="0C469D36" w14:textId="77777777" w:rsidTr="002E7B49">
        <w:trPr>
          <w:trHeight w:val="20"/>
        </w:trPr>
        <w:tc>
          <w:tcPr>
            <w:tcW w:w="1011" w:type="pct"/>
          </w:tcPr>
          <w:p w14:paraId="3827DC88"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 xml:space="preserve">INDEPENDENT ADMINISTRATOR </w:t>
            </w:r>
          </w:p>
        </w:tc>
        <w:tc>
          <w:tcPr>
            <w:tcW w:w="3989" w:type="pct"/>
          </w:tcPr>
          <w:p w14:paraId="6C441E2D"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Haruna Yahaya and Co. (Chartered Accountants)</w:t>
            </w:r>
          </w:p>
        </w:tc>
      </w:tr>
      <w:tr w:rsidR="00B9786C" w:rsidRPr="002053A6" w14:paraId="2B635060" w14:textId="77777777" w:rsidTr="002E7B49">
        <w:trPr>
          <w:trHeight w:val="20"/>
        </w:trPr>
        <w:tc>
          <w:tcPr>
            <w:tcW w:w="1011" w:type="pct"/>
            <w:vMerge w:val="restart"/>
          </w:tcPr>
          <w:p w14:paraId="0C09D3A6"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ENTITIES</w:t>
            </w:r>
          </w:p>
        </w:tc>
        <w:tc>
          <w:tcPr>
            <w:tcW w:w="3989" w:type="pct"/>
          </w:tcPr>
          <w:p w14:paraId="70092F2A"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Total number of entities                    1,631</w:t>
            </w:r>
          </w:p>
        </w:tc>
      </w:tr>
      <w:tr w:rsidR="00B9786C" w:rsidRPr="002053A6" w14:paraId="3667C7AD" w14:textId="77777777" w:rsidTr="002E7B49">
        <w:trPr>
          <w:trHeight w:val="20"/>
        </w:trPr>
        <w:tc>
          <w:tcPr>
            <w:tcW w:w="1011" w:type="pct"/>
            <w:vMerge/>
          </w:tcPr>
          <w:p w14:paraId="1C0F3EEE"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0FEDF1F4"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Entities with Royalty Payments              </w:t>
            </w:r>
            <w:r w:rsidRPr="002053A6">
              <w:rPr>
                <w:rFonts w:ascii="Calibri" w:hAnsi="Calibri" w:cs="Calibri"/>
              </w:rPr>
              <w:t>973</w:t>
            </w:r>
          </w:p>
        </w:tc>
      </w:tr>
      <w:tr w:rsidR="00B9786C" w:rsidRPr="002053A6" w14:paraId="25BE47A4" w14:textId="77777777" w:rsidTr="002E7B49">
        <w:trPr>
          <w:trHeight w:val="20"/>
        </w:trPr>
        <w:tc>
          <w:tcPr>
            <w:tcW w:w="1011" w:type="pct"/>
            <w:vMerge/>
          </w:tcPr>
          <w:p w14:paraId="46640DDE"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0774C535"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Entities within threshold                       85</w:t>
            </w:r>
          </w:p>
        </w:tc>
      </w:tr>
      <w:tr w:rsidR="00B9786C" w:rsidRPr="002053A6" w14:paraId="4E3E40B7" w14:textId="77777777" w:rsidTr="002E7B49">
        <w:trPr>
          <w:trHeight w:val="20"/>
        </w:trPr>
        <w:tc>
          <w:tcPr>
            <w:tcW w:w="1011" w:type="pct"/>
            <w:vMerge w:val="restart"/>
          </w:tcPr>
          <w:p w14:paraId="0FCF19B3"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GOVERNMENT REVENUES</w:t>
            </w:r>
          </w:p>
        </w:tc>
        <w:tc>
          <w:tcPr>
            <w:tcW w:w="3989" w:type="pct"/>
          </w:tcPr>
          <w:p w14:paraId="1719A792"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Total government revenues (including unilaterally disclosed)</w:t>
            </w:r>
          </w:p>
        </w:tc>
      </w:tr>
      <w:tr w:rsidR="00B9786C" w:rsidRPr="002053A6" w14:paraId="3D949C6C" w14:textId="77777777" w:rsidTr="002E7B49">
        <w:trPr>
          <w:trHeight w:val="20"/>
        </w:trPr>
        <w:tc>
          <w:tcPr>
            <w:tcW w:w="1011" w:type="pct"/>
            <w:vMerge/>
          </w:tcPr>
          <w:p w14:paraId="45457A8E"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157B7DC5" w14:textId="77777777" w:rsidR="00B9786C" w:rsidRPr="002053A6" w:rsidRDefault="00B9786C" w:rsidP="002E7B49">
            <w:pPr>
              <w:rPr>
                <w:rFonts w:ascii="Calibri" w:hAnsi="Calibri" w:cs="Calibri"/>
              </w:rPr>
            </w:pPr>
            <w:r w:rsidRPr="002053A6">
              <w:rPr>
                <w:rFonts w:ascii="Calibri" w:hAnsi="Calibri" w:cs="Calibri"/>
              </w:rPr>
              <w:t>₦345,409,855,324</w:t>
            </w:r>
          </w:p>
        </w:tc>
      </w:tr>
      <w:tr w:rsidR="00B9786C" w:rsidRPr="002053A6" w14:paraId="44627E9C" w14:textId="77777777" w:rsidTr="002E7B49">
        <w:trPr>
          <w:trHeight w:val="20"/>
        </w:trPr>
        <w:tc>
          <w:tcPr>
            <w:tcW w:w="1011" w:type="pct"/>
            <w:vMerge/>
          </w:tcPr>
          <w:p w14:paraId="0941BB5F"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39BDE0B6"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Final reconciled revenues (excl. unilateral disclosure):</w:t>
            </w:r>
          </w:p>
        </w:tc>
      </w:tr>
      <w:tr w:rsidR="00B9786C" w:rsidRPr="002053A6" w14:paraId="57A27FBC" w14:textId="77777777" w:rsidTr="002E7B49">
        <w:trPr>
          <w:trHeight w:val="20"/>
        </w:trPr>
        <w:tc>
          <w:tcPr>
            <w:tcW w:w="1011" w:type="pct"/>
            <w:vMerge/>
          </w:tcPr>
          <w:p w14:paraId="119FEE02"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3F7A7335" w14:textId="77777777" w:rsidR="00B9786C" w:rsidRPr="002053A6" w:rsidRDefault="00B9786C" w:rsidP="002E7B49">
            <w:pPr>
              <w:rPr>
                <w:rFonts w:ascii="Calibri" w:eastAsia="Gentium Basic" w:hAnsi="Calibri" w:cs="Calibri"/>
              </w:rPr>
            </w:pPr>
            <w:r w:rsidRPr="002053A6">
              <w:rPr>
                <w:rFonts w:ascii="Calibri" w:hAnsi="Calibri" w:cs="Calibri"/>
              </w:rPr>
              <w:t>₦</w:t>
            </w:r>
            <w:r w:rsidRPr="002053A6">
              <w:rPr>
                <w:rFonts w:ascii="Calibri" w:eastAsia="Gentium Basic" w:hAnsi="Calibri" w:cs="Calibri"/>
              </w:rPr>
              <w:t>329,918,980,000</w:t>
            </w:r>
          </w:p>
        </w:tc>
      </w:tr>
      <w:tr w:rsidR="00B9786C" w:rsidRPr="002053A6" w14:paraId="703C1463" w14:textId="77777777" w:rsidTr="002E7B49">
        <w:trPr>
          <w:trHeight w:val="20"/>
        </w:trPr>
        <w:tc>
          <w:tcPr>
            <w:tcW w:w="1011" w:type="pct"/>
            <w:vMerge w:val="restart"/>
          </w:tcPr>
          <w:p w14:paraId="100B3414"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COMPANY PAYMENTS</w:t>
            </w:r>
          </w:p>
        </w:tc>
        <w:tc>
          <w:tcPr>
            <w:tcW w:w="3989" w:type="pct"/>
          </w:tcPr>
          <w:p w14:paraId="18D9A282" w14:textId="77777777" w:rsidR="00B9786C" w:rsidRPr="002053A6" w:rsidRDefault="00B9786C" w:rsidP="002E7B49">
            <w:pPr>
              <w:rPr>
                <w:rFonts w:ascii="Calibri" w:eastAsia="Gentium Basic" w:hAnsi="Calibri" w:cs="Calibri"/>
              </w:rPr>
            </w:pPr>
            <w:r w:rsidRPr="002053A6">
              <w:rPr>
                <w:rFonts w:ascii="Calibri" w:eastAsia="Gentium Basic" w:hAnsi="Calibri" w:cs="Calibri"/>
                <w:b/>
              </w:rPr>
              <w:t>Total company payments (including non-reconciled):</w:t>
            </w:r>
          </w:p>
        </w:tc>
      </w:tr>
      <w:tr w:rsidR="00B9786C" w:rsidRPr="002053A6" w14:paraId="0D08A67E" w14:textId="77777777" w:rsidTr="002E7B49">
        <w:trPr>
          <w:trHeight w:val="20"/>
        </w:trPr>
        <w:tc>
          <w:tcPr>
            <w:tcW w:w="1011" w:type="pct"/>
            <w:vMerge/>
          </w:tcPr>
          <w:p w14:paraId="4BE71EE3"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7C98CD4B" w14:textId="77777777" w:rsidR="00B9786C" w:rsidRPr="002053A6" w:rsidRDefault="00B9786C" w:rsidP="002E7B49">
            <w:pPr>
              <w:rPr>
                <w:rFonts w:ascii="Calibri" w:hAnsi="Calibri" w:cs="Calibri"/>
              </w:rPr>
            </w:pPr>
            <w:r w:rsidRPr="002053A6">
              <w:rPr>
                <w:rFonts w:ascii="Calibri" w:hAnsi="Calibri" w:cs="Calibri"/>
              </w:rPr>
              <w:t>₦345,409,855,324</w:t>
            </w:r>
          </w:p>
        </w:tc>
      </w:tr>
      <w:tr w:rsidR="00B9786C" w:rsidRPr="002053A6" w14:paraId="48B9BC70" w14:textId="77777777" w:rsidTr="002E7B49">
        <w:trPr>
          <w:trHeight w:val="20"/>
        </w:trPr>
        <w:tc>
          <w:tcPr>
            <w:tcW w:w="1011" w:type="pct"/>
            <w:vMerge/>
          </w:tcPr>
          <w:p w14:paraId="1FE7E726"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1E9B5933" w14:textId="77777777" w:rsidR="00B9786C" w:rsidRPr="002053A6" w:rsidRDefault="00B9786C" w:rsidP="002E7B49">
            <w:pPr>
              <w:rPr>
                <w:rFonts w:ascii="Calibri" w:eastAsia="Gentium Basic" w:hAnsi="Calibri" w:cs="Calibri"/>
              </w:rPr>
            </w:pPr>
            <w:r w:rsidRPr="002053A6">
              <w:rPr>
                <w:rFonts w:ascii="Calibri" w:eastAsia="Gentium Basic" w:hAnsi="Calibri" w:cs="Calibri"/>
                <w:b/>
              </w:rPr>
              <w:t>Final reconciled payments (excl. unilateral disclosure):</w:t>
            </w:r>
          </w:p>
        </w:tc>
      </w:tr>
      <w:tr w:rsidR="00B9786C" w:rsidRPr="002053A6" w14:paraId="1C31EE64" w14:textId="77777777" w:rsidTr="002E7B49">
        <w:trPr>
          <w:trHeight w:val="20"/>
        </w:trPr>
        <w:tc>
          <w:tcPr>
            <w:tcW w:w="1011" w:type="pct"/>
            <w:vMerge/>
          </w:tcPr>
          <w:p w14:paraId="187EF666"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59BF5522" w14:textId="77777777" w:rsidR="00B9786C" w:rsidRPr="002053A6" w:rsidRDefault="00B9786C" w:rsidP="002E7B49">
            <w:pPr>
              <w:rPr>
                <w:rFonts w:ascii="Calibri" w:eastAsia="Gentium Basic" w:hAnsi="Calibri" w:cs="Calibri"/>
              </w:rPr>
            </w:pPr>
            <w:r w:rsidRPr="002053A6">
              <w:rPr>
                <w:rFonts w:ascii="Calibri" w:hAnsi="Calibri" w:cs="Calibri"/>
              </w:rPr>
              <w:t>₦</w:t>
            </w:r>
            <w:r w:rsidRPr="002053A6">
              <w:rPr>
                <w:rFonts w:ascii="Calibri" w:eastAsia="Gentium Basic" w:hAnsi="Calibri" w:cs="Calibri"/>
              </w:rPr>
              <w:t>329,918,880,000</w:t>
            </w:r>
          </w:p>
        </w:tc>
      </w:tr>
      <w:tr w:rsidR="00B9786C" w:rsidRPr="002053A6" w14:paraId="5ABD5D29" w14:textId="77777777" w:rsidTr="002E7B49">
        <w:trPr>
          <w:trHeight w:val="20"/>
        </w:trPr>
        <w:tc>
          <w:tcPr>
            <w:tcW w:w="1011" w:type="pct"/>
          </w:tcPr>
          <w:p w14:paraId="42934187"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r w:rsidRPr="002053A6">
              <w:rPr>
                <w:rFonts w:ascii="Calibri" w:eastAsia="Gentium Basic" w:hAnsi="Calibri" w:cs="Calibri"/>
                <w:b/>
              </w:rPr>
              <w:t>COMPANY OUTSTANDING LIABILITIES</w:t>
            </w:r>
          </w:p>
        </w:tc>
        <w:tc>
          <w:tcPr>
            <w:tcW w:w="3989" w:type="pct"/>
          </w:tcPr>
          <w:p w14:paraId="2645B1A9" w14:textId="77777777" w:rsidR="00B9786C" w:rsidRPr="002053A6" w:rsidRDefault="00B9786C" w:rsidP="002E7B49">
            <w:pPr>
              <w:rPr>
                <w:rFonts w:ascii="Calibri" w:hAnsi="Calibri" w:cs="Calibri"/>
              </w:rPr>
            </w:pPr>
            <w:r w:rsidRPr="002053A6">
              <w:rPr>
                <w:rFonts w:ascii="Calibri" w:hAnsi="Calibri" w:cs="Calibri"/>
                <w:b/>
                <w:bCs/>
                <w:dstrike/>
                <w:sz w:val="22"/>
                <w:szCs w:val="22"/>
                <w:lang w:eastAsia="en-GB"/>
              </w:rPr>
              <w:t>N</w:t>
            </w:r>
            <w:r w:rsidRPr="002053A6">
              <w:rPr>
                <w:rFonts w:ascii="Calibri" w:hAnsi="Calibri" w:cs="Calibri"/>
                <w:b/>
                <w:bCs/>
                <w:sz w:val="22"/>
                <w:szCs w:val="22"/>
                <w:lang w:eastAsia="en-GB"/>
              </w:rPr>
              <w:t>3,212,202,500</w:t>
            </w:r>
          </w:p>
        </w:tc>
      </w:tr>
      <w:tr w:rsidR="00B9786C" w:rsidRPr="002053A6" w14:paraId="3329F01A" w14:textId="77777777" w:rsidTr="002E7B49">
        <w:trPr>
          <w:trHeight w:val="20"/>
        </w:trPr>
        <w:tc>
          <w:tcPr>
            <w:tcW w:w="1011" w:type="pct"/>
          </w:tcPr>
          <w:p w14:paraId="2DABD3A6"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LARGEST REVENUE STREAM (TYPE AND %)</w:t>
            </w:r>
          </w:p>
        </w:tc>
        <w:tc>
          <w:tcPr>
            <w:tcW w:w="3989" w:type="pct"/>
          </w:tcPr>
          <w:p w14:paraId="33E35468"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Valued Added Tax (VAT) </w:t>
            </w:r>
            <w:r w:rsidRPr="002053A6">
              <w:rPr>
                <w:rFonts w:ascii="Calibri" w:hAnsi="Calibri" w:cs="Calibri"/>
              </w:rPr>
              <w:t>₦</w:t>
            </w:r>
            <w:r w:rsidRPr="002053A6">
              <w:rPr>
                <w:rFonts w:ascii="Calibri" w:eastAsia="Gentium Basic" w:hAnsi="Calibri" w:cs="Calibri"/>
              </w:rPr>
              <w:t xml:space="preserve">128.32 Billion (38.9%) of 2022 total reconciled flows </w:t>
            </w:r>
          </w:p>
        </w:tc>
      </w:tr>
      <w:tr w:rsidR="00B9786C" w:rsidRPr="002053A6" w14:paraId="415D7C53" w14:textId="77777777" w:rsidTr="002E7B49">
        <w:trPr>
          <w:trHeight w:val="20"/>
        </w:trPr>
        <w:tc>
          <w:tcPr>
            <w:tcW w:w="1011" w:type="pct"/>
            <w:vMerge w:val="restart"/>
          </w:tcPr>
          <w:p w14:paraId="6AECD282"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COVERAGE (TYPES OF FINANCIAL FLOWS)</w:t>
            </w:r>
          </w:p>
        </w:tc>
        <w:tc>
          <w:tcPr>
            <w:tcW w:w="3989" w:type="pct"/>
          </w:tcPr>
          <w:p w14:paraId="1A54C6DB" w14:textId="77777777" w:rsidR="00B9786C" w:rsidRPr="002053A6" w:rsidRDefault="00B9786C" w:rsidP="002E7B49">
            <w:pPr>
              <w:rPr>
                <w:rFonts w:ascii="Calibri" w:eastAsia="Gentium Basic" w:hAnsi="Calibri" w:cs="Calibri"/>
              </w:rPr>
            </w:pPr>
            <w:r w:rsidRPr="002053A6">
              <w:rPr>
                <w:rFonts w:ascii="Calibri" w:eastAsia="Gentium Basic" w:hAnsi="Calibri" w:cs="Calibri"/>
                <w:b/>
              </w:rPr>
              <w:t>Reconciled financial flows</w:t>
            </w:r>
          </w:p>
        </w:tc>
      </w:tr>
      <w:tr w:rsidR="00B9786C" w:rsidRPr="002053A6" w14:paraId="74415BEB" w14:textId="77777777" w:rsidTr="002E7B49">
        <w:trPr>
          <w:trHeight w:val="20"/>
        </w:trPr>
        <w:tc>
          <w:tcPr>
            <w:tcW w:w="1011" w:type="pct"/>
            <w:vMerge/>
          </w:tcPr>
          <w:p w14:paraId="3A7761E8"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10F3CE63"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FIRS – Taxes: </w:t>
            </w:r>
            <w:r w:rsidRPr="002053A6">
              <w:rPr>
                <w:rFonts w:ascii="Calibri" w:hAnsi="Calibri" w:cs="Calibri"/>
              </w:rPr>
              <w:t>₦</w:t>
            </w:r>
            <w:r w:rsidRPr="002053A6">
              <w:rPr>
                <w:rFonts w:ascii="Calibri" w:eastAsia="Gentium Basic" w:hAnsi="Calibri" w:cs="Calibri"/>
              </w:rPr>
              <w:t>319,813,550,000 (96.94%)</w:t>
            </w:r>
          </w:p>
        </w:tc>
      </w:tr>
      <w:tr w:rsidR="00B9786C" w:rsidRPr="002053A6" w14:paraId="09278727" w14:textId="77777777" w:rsidTr="002E7B49">
        <w:trPr>
          <w:trHeight w:val="20"/>
        </w:trPr>
        <w:tc>
          <w:tcPr>
            <w:tcW w:w="1011" w:type="pct"/>
            <w:vMerge/>
          </w:tcPr>
          <w:p w14:paraId="0A7029CE"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0C0078D0"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MID – Royalty and Others: </w:t>
            </w:r>
            <w:r w:rsidRPr="002053A6">
              <w:rPr>
                <w:rFonts w:ascii="Calibri" w:hAnsi="Calibri" w:cs="Calibri"/>
              </w:rPr>
              <w:t>₦</w:t>
            </w:r>
            <w:r w:rsidRPr="002053A6">
              <w:rPr>
                <w:rFonts w:ascii="Calibri" w:eastAsia="Gentium Basic" w:hAnsi="Calibri" w:cs="Calibri"/>
              </w:rPr>
              <w:t xml:space="preserve"> 3,793,679,700 (1.15%)</w:t>
            </w:r>
          </w:p>
        </w:tc>
      </w:tr>
      <w:tr w:rsidR="00B9786C" w:rsidRPr="002053A6" w14:paraId="3347BA64" w14:textId="77777777" w:rsidTr="002E7B49">
        <w:trPr>
          <w:trHeight w:val="20"/>
        </w:trPr>
        <w:tc>
          <w:tcPr>
            <w:tcW w:w="1011" w:type="pct"/>
            <w:vMerge/>
          </w:tcPr>
          <w:p w14:paraId="4C789080"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484C5438"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MCO – Annual Service Fee and Others: </w:t>
            </w:r>
            <w:r w:rsidRPr="002053A6">
              <w:rPr>
                <w:rFonts w:ascii="Calibri" w:hAnsi="Calibri" w:cs="Calibri"/>
              </w:rPr>
              <w:t>₦</w:t>
            </w:r>
            <w:r w:rsidRPr="002053A6">
              <w:rPr>
                <w:rFonts w:ascii="Calibri" w:eastAsia="Gentium Basic" w:hAnsi="Calibri" w:cs="Calibri"/>
              </w:rPr>
              <w:t xml:space="preserve"> 6,311,750,000 (1.91%)</w:t>
            </w:r>
          </w:p>
        </w:tc>
      </w:tr>
      <w:tr w:rsidR="00B9786C" w:rsidRPr="002053A6" w14:paraId="5005296E" w14:textId="77777777" w:rsidTr="002E7B49">
        <w:trPr>
          <w:trHeight w:val="20"/>
        </w:trPr>
        <w:tc>
          <w:tcPr>
            <w:tcW w:w="1011" w:type="pct"/>
            <w:vMerge/>
          </w:tcPr>
          <w:p w14:paraId="61C66432"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12FEB226" w14:textId="77777777" w:rsidR="00B9786C" w:rsidRPr="002053A6" w:rsidRDefault="00B9786C" w:rsidP="002E7B49">
            <w:pPr>
              <w:rPr>
                <w:rFonts w:ascii="Calibri" w:eastAsia="Gentium Basic" w:hAnsi="Calibri" w:cs="Calibri"/>
              </w:rPr>
            </w:pPr>
            <w:r w:rsidRPr="002053A6">
              <w:rPr>
                <w:rFonts w:ascii="Calibri" w:eastAsia="Gentium Basic" w:hAnsi="Calibri" w:cs="Calibri"/>
                <w:b/>
              </w:rPr>
              <w:t>Unilaterally disclosed financial flows</w:t>
            </w:r>
          </w:p>
        </w:tc>
      </w:tr>
      <w:tr w:rsidR="00B9786C" w:rsidRPr="002053A6" w14:paraId="51981EEC" w14:textId="77777777" w:rsidTr="002E7B49">
        <w:trPr>
          <w:trHeight w:val="20"/>
        </w:trPr>
        <w:tc>
          <w:tcPr>
            <w:tcW w:w="1011" w:type="pct"/>
            <w:vMerge/>
          </w:tcPr>
          <w:p w14:paraId="711341B1"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0ACC1040"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NCS -Registration fees for Environmental Impact Analysis </w:t>
            </w:r>
            <w:r w:rsidRPr="002053A6">
              <w:rPr>
                <w:rFonts w:ascii="Calibri" w:hAnsi="Calibri" w:cs="Calibri"/>
              </w:rPr>
              <w:t>₦</w:t>
            </w:r>
            <w:r w:rsidRPr="002053A6">
              <w:rPr>
                <w:rFonts w:ascii="Calibri" w:eastAsia="Gentium Basic" w:hAnsi="Calibri" w:cs="Calibri"/>
              </w:rPr>
              <w:t>4,092,733,106 (1.18%)</w:t>
            </w:r>
          </w:p>
        </w:tc>
      </w:tr>
      <w:tr w:rsidR="00B9786C" w:rsidRPr="002053A6" w14:paraId="3B069C97" w14:textId="77777777" w:rsidTr="002E7B49">
        <w:trPr>
          <w:trHeight w:val="20"/>
        </w:trPr>
        <w:tc>
          <w:tcPr>
            <w:tcW w:w="1011" w:type="pct"/>
            <w:vMerge/>
          </w:tcPr>
          <w:p w14:paraId="53E71C00"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642A04CA"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States – Annual Surface Rents and Others: </w:t>
            </w:r>
            <w:r w:rsidRPr="002053A6">
              <w:rPr>
                <w:rFonts w:ascii="Calibri" w:hAnsi="Calibri" w:cs="Calibri"/>
              </w:rPr>
              <w:t>₦</w:t>
            </w:r>
            <w:r w:rsidRPr="002053A6">
              <w:rPr>
                <w:rFonts w:ascii="Calibri" w:eastAsia="Gentium Basic" w:hAnsi="Calibri" w:cs="Calibri"/>
              </w:rPr>
              <w:t xml:space="preserve"> 11,348,689,000 (3.29%)</w:t>
            </w:r>
          </w:p>
        </w:tc>
      </w:tr>
      <w:tr w:rsidR="00B9786C" w:rsidRPr="002053A6" w14:paraId="4090CD0F" w14:textId="77777777" w:rsidTr="002E7B49">
        <w:trPr>
          <w:trHeight w:val="20"/>
        </w:trPr>
        <w:tc>
          <w:tcPr>
            <w:tcW w:w="1011" w:type="pct"/>
            <w:vMerge/>
          </w:tcPr>
          <w:p w14:paraId="07B21338"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5597EDF6" w14:textId="77777777" w:rsidR="00B9786C" w:rsidRPr="002053A6" w:rsidRDefault="00B9786C" w:rsidP="002E7B49">
            <w:pPr>
              <w:rPr>
                <w:rFonts w:ascii="Calibri" w:eastAsia="Gentium Basic" w:hAnsi="Calibri" w:cs="Calibri"/>
              </w:rPr>
            </w:pPr>
            <w:proofErr w:type="spellStart"/>
            <w:r w:rsidRPr="002053A6">
              <w:rPr>
                <w:rFonts w:ascii="Calibri" w:eastAsia="Gentium Basic" w:hAnsi="Calibri" w:cs="Calibri"/>
              </w:rPr>
              <w:t>MoE</w:t>
            </w:r>
            <w:proofErr w:type="spellEnd"/>
            <w:r w:rsidRPr="002053A6">
              <w:rPr>
                <w:rFonts w:ascii="Calibri" w:eastAsia="Gentium Basic" w:hAnsi="Calibri" w:cs="Calibri"/>
              </w:rPr>
              <w:t xml:space="preserve"> – Environmental Fee and Others: </w:t>
            </w:r>
            <w:r w:rsidRPr="002053A6">
              <w:rPr>
                <w:rFonts w:ascii="Calibri" w:hAnsi="Calibri" w:cs="Calibri"/>
              </w:rPr>
              <w:t>₦</w:t>
            </w:r>
            <w:r w:rsidRPr="002053A6">
              <w:rPr>
                <w:rFonts w:ascii="Calibri" w:eastAsia="Gentium Basic" w:hAnsi="Calibri" w:cs="Calibri"/>
              </w:rPr>
              <w:t>8,829,894 (0.003%)</w:t>
            </w:r>
          </w:p>
        </w:tc>
      </w:tr>
      <w:tr w:rsidR="00B9786C" w:rsidRPr="002053A6" w14:paraId="48D48C1E" w14:textId="77777777" w:rsidTr="002E7B49">
        <w:trPr>
          <w:trHeight w:val="20"/>
        </w:trPr>
        <w:tc>
          <w:tcPr>
            <w:tcW w:w="1011" w:type="pct"/>
            <w:vMerge/>
          </w:tcPr>
          <w:p w14:paraId="0E17985C"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3A3CC814"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NGSA – Consultancy Fee: 40,676,194 (0.01%)</w:t>
            </w:r>
          </w:p>
        </w:tc>
      </w:tr>
      <w:tr w:rsidR="00B9786C" w:rsidRPr="002053A6" w14:paraId="5943E6EF" w14:textId="77777777" w:rsidTr="002E7B49">
        <w:trPr>
          <w:trHeight w:val="20"/>
        </w:trPr>
        <w:tc>
          <w:tcPr>
            <w:tcW w:w="1011" w:type="pct"/>
            <w:vMerge w:val="restart"/>
          </w:tcPr>
          <w:p w14:paraId="1D104779"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TOTAL DISCREPANCIES</w:t>
            </w:r>
          </w:p>
        </w:tc>
        <w:tc>
          <w:tcPr>
            <w:tcW w:w="3989" w:type="pct"/>
          </w:tcPr>
          <w:p w14:paraId="1492A801"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Initial: </w:t>
            </w:r>
            <w:r w:rsidRPr="002053A6">
              <w:rPr>
                <w:rFonts w:ascii="Calibri" w:hAnsi="Calibri" w:cs="Calibri"/>
              </w:rPr>
              <w:t>₦</w:t>
            </w:r>
            <w:r w:rsidRPr="002053A6">
              <w:rPr>
                <w:rFonts w:ascii="Calibri" w:eastAsia="Gentium Basic" w:hAnsi="Calibri" w:cs="Calibri"/>
              </w:rPr>
              <w:t>301.6Billion</w:t>
            </w:r>
            <w:r w:rsidRPr="002053A6">
              <w:rPr>
                <w:rFonts w:ascii="Calibri" w:eastAsia="Gentium Basic" w:hAnsi="Calibri" w:cs="Calibri"/>
                <w:b/>
              </w:rPr>
              <w:t xml:space="preserve"> </w:t>
            </w:r>
            <w:r w:rsidRPr="002053A6">
              <w:rPr>
                <w:rFonts w:ascii="Calibri" w:eastAsia="Gentium Basic" w:hAnsi="Calibri" w:cs="Calibri"/>
              </w:rPr>
              <w:t>(87.31% of initial government revenue)</w:t>
            </w:r>
          </w:p>
        </w:tc>
      </w:tr>
      <w:tr w:rsidR="00B9786C" w:rsidRPr="002053A6" w14:paraId="61B66551" w14:textId="77777777" w:rsidTr="002E7B49">
        <w:trPr>
          <w:trHeight w:val="20"/>
        </w:trPr>
        <w:tc>
          <w:tcPr>
            <w:tcW w:w="1011" w:type="pct"/>
            <w:vMerge/>
          </w:tcPr>
          <w:p w14:paraId="1CFF3DFC"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06F9BA40"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Final Reconciled:  ₦329.9 Billion</w:t>
            </w:r>
          </w:p>
          <w:p w14:paraId="356AEA97"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Unreconciled: </w:t>
            </w:r>
            <w:r w:rsidRPr="002053A6">
              <w:rPr>
                <w:rFonts w:ascii="Calibri" w:eastAsia="Gentium Basic" w:hAnsi="Calibri" w:cs="Calibri"/>
                <w:strike/>
              </w:rPr>
              <w:t>₦</w:t>
            </w:r>
            <w:r w:rsidRPr="002053A6">
              <w:rPr>
                <w:rFonts w:ascii="Calibri" w:eastAsia="Gentium Basic" w:hAnsi="Calibri" w:cs="Calibri"/>
              </w:rPr>
              <w:t>100 Million</w:t>
            </w:r>
          </w:p>
        </w:tc>
      </w:tr>
      <w:tr w:rsidR="00B9786C" w:rsidRPr="002053A6" w14:paraId="69DCFBD0" w14:textId="77777777" w:rsidTr="002E7B49">
        <w:trPr>
          <w:trHeight w:val="20"/>
        </w:trPr>
        <w:tc>
          <w:tcPr>
            <w:tcW w:w="1011" w:type="pct"/>
            <w:vMerge w:val="restart"/>
          </w:tcPr>
          <w:p w14:paraId="2D59B2B0"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PRODUCTION</w:t>
            </w:r>
          </w:p>
        </w:tc>
        <w:tc>
          <w:tcPr>
            <w:tcW w:w="3989" w:type="pct"/>
          </w:tcPr>
          <w:p w14:paraId="6528D0BE"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Total Quantity Used/Sold (70,727,531 Tonnes) </w:t>
            </w:r>
          </w:p>
        </w:tc>
      </w:tr>
      <w:tr w:rsidR="00B9786C" w:rsidRPr="002053A6" w14:paraId="1B25A571" w14:textId="77777777" w:rsidTr="002E7B49">
        <w:trPr>
          <w:trHeight w:val="20"/>
        </w:trPr>
        <w:tc>
          <w:tcPr>
            <w:tcW w:w="1011" w:type="pct"/>
            <w:vMerge/>
          </w:tcPr>
          <w:p w14:paraId="5DB53EE4"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0D3A92FD"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Total Royalty Paid: </w:t>
            </w:r>
            <w:r w:rsidRPr="002053A6">
              <w:rPr>
                <w:rFonts w:ascii="Calibri" w:hAnsi="Calibri" w:cs="Calibri"/>
              </w:rPr>
              <w:t>₦</w:t>
            </w:r>
            <w:r w:rsidRPr="002053A6">
              <w:rPr>
                <w:rFonts w:ascii="Calibri" w:eastAsia="Gentium Basic" w:hAnsi="Calibri" w:cs="Calibri"/>
              </w:rPr>
              <w:t>6,272,880,565</w:t>
            </w:r>
          </w:p>
        </w:tc>
      </w:tr>
      <w:tr w:rsidR="00B9786C" w:rsidRPr="002053A6" w14:paraId="0D87B344" w14:textId="77777777" w:rsidTr="002E7B49">
        <w:trPr>
          <w:trHeight w:val="20"/>
        </w:trPr>
        <w:tc>
          <w:tcPr>
            <w:tcW w:w="1011" w:type="pct"/>
            <w:vMerge w:val="restart"/>
          </w:tcPr>
          <w:p w14:paraId="0E489601"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lastRenderedPageBreak/>
              <w:t>EXPORT</w:t>
            </w:r>
          </w:p>
        </w:tc>
        <w:tc>
          <w:tcPr>
            <w:tcW w:w="3989" w:type="pct"/>
          </w:tcPr>
          <w:p w14:paraId="11AF4F73" w14:textId="77777777" w:rsidR="00B9786C" w:rsidRPr="002053A6" w:rsidRDefault="00B9786C" w:rsidP="002E7B49">
            <w:pPr>
              <w:rPr>
                <w:rFonts w:ascii="Calibri" w:eastAsia="Gentium Basic" w:hAnsi="Calibri" w:cs="Calibri"/>
              </w:rPr>
            </w:pPr>
            <w:r w:rsidRPr="002053A6">
              <w:rPr>
                <w:rFonts w:ascii="Calibri" w:eastAsia="Gentium Basic" w:hAnsi="Calibri" w:cs="Calibri"/>
                <w:b/>
              </w:rPr>
              <w:t>Export Minerals by Companies</w:t>
            </w:r>
          </w:p>
        </w:tc>
      </w:tr>
      <w:tr w:rsidR="00B9786C" w:rsidRPr="002053A6" w14:paraId="44D44CE6" w14:textId="77777777" w:rsidTr="002E7B49">
        <w:trPr>
          <w:trHeight w:val="20"/>
        </w:trPr>
        <w:tc>
          <w:tcPr>
            <w:tcW w:w="1011" w:type="pct"/>
            <w:vMerge/>
          </w:tcPr>
          <w:p w14:paraId="29F4EBEE"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340BD417"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Total Export Quantity: 4,316,210 MT </w:t>
            </w:r>
          </w:p>
        </w:tc>
      </w:tr>
      <w:tr w:rsidR="00B9786C" w:rsidRPr="002053A6" w14:paraId="6D1213A7" w14:textId="77777777" w:rsidTr="002E7B49">
        <w:trPr>
          <w:trHeight w:val="20"/>
        </w:trPr>
        <w:tc>
          <w:tcPr>
            <w:tcW w:w="1011" w:type="pct"/>
            <w:vMerge/>
          </w:tcPr>
          <w:p w14:paraId="1F96E587"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7AF03AF0"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Total Export Value </w:t>
            </w:r>
            <w:r w:rsidRPr="002053A6">
              <w:rPr>
                <w:rFonts w:ascii="Calibri" w:eastAsia="Gentium Basic" w:hAnsi="Calibri" w:cs="Calibri"/>
                <w:strike/>
              </w:rPr>
              <w:t>N</w:t>
            </w:r>
            <w:r w:rsidRPr="002053A6">
              <w:rPr>
                <w:rFonts w:ascii="Calibri" w:eastAsia="Gentium Basic" w:hAnsi="Calibri" w:cs="Calibri"/>
              </w:rPr>
              <w:t>117,293,166,902</w:t>
            </w:r>
          </w:p>
        </w:tc>
      </w:tr>
      <w:tr w:rsidR="00B9786C" w:rsidRPr="002053A6" w14:paraId="40235634" w14:textId="77777777" w:rsidTr="002E7B49">
        <w:trPr>
          <w:trHeight w:val="20"/>
        </w:trPr>
        <w:tc>
          <w:tcPr>
            <w:tcW w:w="1011" w:type="pct"/>
            <w:vMerge w:val="restart"/>
          </w:tcPr>
          <w:p w14:paraId="6988E148"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GDP</w:t>
            </w:r>
          </w:p>
        </w:tc>
        <w:tc>
          <w:tcPr>
            <w:tcW w:w="3989" w:type="pct"/>
          </w:tcPr>
          <w:p w14:paraId="43376B7C"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 xml:space="preserve">GDP: </w:t>
            </w:r>
            <w:r w:rsidRPr="002053A6">
              <w:rPr>
                <w:rFonts w:ascii="Calibri" w:hAnsi="Calibri" w:cs="Calibri"/>
                <w:strike/>
              </w:rPr>
              <w:t>N</w:t>
            </w:r>
            <w:r w:rsidRPr="002053A6">
              <w:rPr>
                <w:rFonts w:ascii="Calibri" w:hAnsi="Calibri" w:cs="Calibri"/>
                <w:lang w:eastAsia="en-GB"/>
              </w:rPr>
              <w:t>202.36trillion</w:t>
            </w:r>
          </w:p>
        </w:tc>
      </w:tr>
      <w:tr w:rsidR="00B9786C" w:rsidRPr="002053A6" w14:paraId="6FE6DF8A" w14:textId="77777777" w:rsidTr="002E7B49">
        <w:trPr>
          <w:trHeight w:val="20"/>
        </w:trPr>
        <w:tc>
          <w:tcPr>
            <w:tcW w:w="1011" w:type="pct"/>
            <w:vMerge/>
          </w:tcPr>
          <w:p w14:paraId="26AEE0C9" w14:textId="77777777" w:rsidR="00B9786C" w:rsidRPr="002053A6" w:rsidRDefault="00B9786C" w:rsidP="002E7B49">
            <w:pPr>
              <w:widowControl w:val="0"/>
              <w:pBdr>
                <w:top w:val="nil"/>
                <w:left w:val="nil"/>
                <w:bottom w:val="nil"/>
                <w:right w:val="nil"/>
                <w:between w:val="nil"/>
              </w:pBdr>
              <w:spacing w:line="276" w:lineRule="auto"/>
              <w:rPr>
                <w:rFonts w:ascii="Calibri" w:eastAsia="Gentium Basic" w:hAnsi="Calibri" w:cs="Calibri"/>
                <w:b/>
              </w:rPr>
            </w:pPr>
          </w:p>
        </w:tc>
        <w:tc>
          <w:tcPr>
            <w:tcW w:w="3989" w:type="pct"/>
          </w:tcPr>
          <w:p w14:paraId="1DF234F8"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Contribution of Solid Minerals Sector to GDP (</w:t>
            </w:r>
            <w:r w:rsidRPr="002053A6">
              <w:rPr>
                <w:rFonts w:ascii="Calibri" w:hAnsi="Calibri" w:cs="Calibri"/>
              </w:rPr>
              <w:t>₦₦</w:t>
            </w:r>
            <w:r w:rsidRPr="002053A6">
              <w:rPr>
                <w:rFonts w:ascii="Calibri" w:eastAsia="Gentium Basic" w:hAnsi="Calibri" w:cs="Calibri"/>
              </w:rPr>
              <w:t xml:space="preserve">1.66 </w:t>
            </w:r>
            <w:proofErr w:type="gramStart"/>
            <w:r w:rsidRPr="002053A6">
              <w:rPr>
                <w:rFonts w:ascii="Calibri" w:eastAsia="Gentium Basic" w:hAnsi="Calibri" w:cs="Calibri"/>
              </w:rPr>
              <w:t>Trillion</w:t>
            </w:r>
            <w:proofErr w:type="gramEnd"/>
            <w:r w:rsidRPr="002053A6">
              <w:rPr>
                <w:rFonts w:ascii="Calibri" w:eastAsia="Gentium Basic" w:hAnsi="Calibri" w:cs="Calibri"/>
              </w:rPr>
              <w:t xml:space="preserve">; 0.83%) </w:t>
            </w:r>
          </w:p>
        </w:tc>
      </w:tr>
      <w:tr w:rsidR="00B9786C" w:rsidRPr="002053A6" w14:paraId="36B76C46" w14:textId="77777777" w:rsidTr="002E7B49">
        <w:trPr>
          <w:trHeight w:val="20"/>
        </w:trPr>
        <w:tc>
          <w:tcPr>
            <w:tcW w:w="1011" w:type="pct"/>
          </w:tcPr>
          <w:p w14:paraId="071A9BFC"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EXCHANGE RATE AND SOURCE</w:t>
            </w:r>
          </w:p>
        </w:tc>
        <w:tc>
          <w:tcPr>
            <w:tcW w:w="3989" w:type="pct"/>
          </w:tcPr>
          <w:p w14:paraId="22DEC6ED" w14:textId="77777777" w:rsidR="00B9786C" w:rsidRPr="002053A6" w:rsidRDefault="00B9786C" w:rsidP="002E7B49">
            <w:pPr>
              <w:rPr>
                <w:rFonts w:ascii="Calibri" w:eastAsia="Gentium Basic" w:hAnsi="Calibri" w:cs="Calibri"/>
              </w:rPr>
            </w:pPr>
            <w:r w:rsidRPr="002053A6">
              <w:rPr>
                <w:rFonts w:ascii="Calibri" w:eastAsia="Gentium Basic" w:hAnsi="Calibri" w:cs="Calibri"/>
                <w:dstrike/>
              </w:rPr>
              <w:t>N</w:t>
            </w:r>
            <w:r w:rsidRPr="002053A6">
              <w:rPr>
                <w:rFonts w:ascii="Calibri" w:eastAsia="Gentium Basic" w:hAnsi="Calibri" w:cs="Calibri"/>
              </w:rPr>
              <w:t>448</w:t>
            </w:r>
          </w:p>
          <w:p w14:paraId="5782244C" w14:textId="77777777" w:rsidR="00B9786C" w:rsidRPr="002053A6" w:rsidRDefault="00B9786C" w:rsidP="002E7B49">
            <w:pPr>
              <w:rPr>
                <w:rFonts w:ascii="Calibri" w:eastAsia="Gentium Basic" w:hAnsi="Calibri" w:cs="Calibri"/>
              </w:rPr>
            </w:pPr>
            <w:r w:rsidRPr="002053A6">
              <w:rPr>
                <w:rFonts w:ascii="Calibri" w:eastAsia="Gentium Basic" w:hAnsi="Calibri" w:cs="Calibri"/>
              </w:rPr>
              <w:t>Central Bank of Nigeria (CBN) official exchange rate as at December, 2022.</w:t>
            </w:r>
          </w:p>
        </w:tc>
      </w:tr>
      <w:tr w:rsidR="00B9786C" w:rsidRPr="002053A6" w14:paraId="7AE5F0DF" w14:textId="77777777" w:rsidTr="002E7B49">
        <w:trPr>
          <w:trHeight w:val="20"/>
        </w:trPr>
        <w:tc>
          <w:tcPr>
            <w:tcW w:w="1011" w:type="pct"/>
          </w:tcPr>
          <w:p w14:paraId="35C18C27" w14:textId="77777777" w:rsidR="00B9786C" w:rsidRPr="002053A6" w:rsidRDefault="00B9786C" w:rsidP="002E7B49">
            <w:pPr>
              <w:rPr>
                <w:rFonts w:ascii="Calibri" w:eastAsia="Gentium Basic" w:hAnsi="Calibri" w:cs="Calibri"/>
                <w:b/>
              </w:rPr>
            </w:pPr>
            <w:r w:rsidRPr="002053A6">
              <w:rPr>
                <w:rFonts w:ascii="Calibri" w:eastAsia="Gentium Basic" w:hAnsi="Calibri" w:cs="Calibri"/>
                <w:b/>
              </w:rPr>
              <w:t xml:space="preserve">RECENT </w:t>
            </w:r>
            <w:r>
              <w:rPr>
                <w:rFonts w:ascii="Calibri" w:eastAsia="Gentium Basic" w:hAnsi="Calibri" w:cs="Calibri"/>
                <w:b/>
              </w:rPr>
              <w:t>ACTIVITIES</w:t>
            </w:r>
          </w:p>
        </w:tc>
        <w:tc>
          <w:tcPr>
            <w:tcW w:w="3989" w:type="pct"/>
          </w:tcPr>
          <w:p w14:paraId="5D2A7C06" w14:textId="77777777" w:rsidR="00B9786C" w:rsidRPr="00BA40E4" w:rsidRDefault="00B9786C" w:rsidP="002E7B49">
            <w:pPr>
              <w:rPr>
                <w:rFonts w:ascii="Calibri" w:eastAsia="Gentium Basic" w:hAnsi="Calibri" w:cstheme="minorHAnsi"/>
              </w:rPr>
            </w:pPr>
            <w:r w:rsidRPr="00BA40E4">
              <w:rPr>
                <w:rFonts w:ascii="Calibri" w:eastAsia="Gentium Basic" w:hAnsi="Calibri" w:cstheme="minorHAnsi"/>
              </w:rPr>
              <w:t>The Nigerian Mining Act 2007</w:t>
            </w:r>
          </w:p>
          <w:p w14:paraId="41E4D370" w14:textId="77777777" w:rsidR="00B9786C" w:rsidRPr="00BA40E4" w:rsidRDefault="00B9786C" w:rsidP="002E7B49">
            <w:pPr>
              <w:rPr>
                <w:rFonts w:ascii="Calibri" w:eastAsia="Gentium Basic" w:hAnsi="Calibri" w:cstheme="minorHAnsi"/>
              </w:rPr>
            </w:pPr>
            <w:r w:rsidRPr="00BA40E4">
              <w:rPr>
                <w:rFonts w:ascii="Calibri" w:eastAsia="Gentium Basic" w:hAnsi="Calibri" w:cstheme="minorHAnsi"/>
              </w:rPr>
              <w:t xml:space="preserve">  Proposed Replacement: The Nigerian Minerals &amp; Mining Bill 2023</w:t>
            </w:r>
          </w:p>
          <w:p w14:paraId="029040B0" w14:textId="77777777" w:rsidR="00B9786C" w:rsidRDefault="00B9786C" w:rsidP="002E7B49">
            <w:pPr>
              <w:rPr>
                <w:rFonts w:ascii="Calibri" w:eastAsia="Gentium Basic" w:hAnsi="Calibri" w:cstheme="minorHAnsi"/>
              </w:rPr>
            </w:pPr>
            <w:r w:rsidRPr="00BA40E4">
              <w:rPr>
                <w:rFonts w:ascii="Calibri" w:eastAsia="Gentium Basic" w:hAnsi="Calibri" w:cstheme="minorHAnsi"/>
              </w:rPr>
              <w:t xml:space="preserve">  Status: yet to be passed</w:t>
            </w:r>
          </w:p>
          <w:p w14:paraId="730E60F9" w14:textId="77777777" w:rsidR="00B9786C" w:rsidRPr="006A7A8F" w:rsidRDefault="00B9786C" w:rsidP="002E7B49">
            <w:pPr>
              <w:rPr>
                <w:rFonts w:ascii="Calibri" w:eastAsia="Gentium Basic" w:hAnsi="Calibri" w:cstheme="minorHAnsi"/>
                <w:sz w:val="12"/>
                <w:szCs w:val="12"/>
              </w:rPr>
            </w:pPr>
          </w:p>
          <w:p w14:paraId="09AB23C7" w14:textId="77777777" w:rsidR="00B9786C" w:rsidRPr="00BA40E4" w:rsidRDefault="00B9786C" w:rsidP="002E7B49">
            <w:pPr>
              <w:rPr>
                <w:rFonts w:ascii="Calibri" w:eastAsia="Gentium Basic" w:hAnsi="Calibri" w:cstheme="minorHAnsi"/>
              </w:rPr>
            </w:pPr>
            <w:r w:rsidRPr="00BA40E4">
              <w:rPr>
                <w:rFonts w:ascii="Calibri" w:eastAsia="Gentium Basic" w:hAnsi="Calibri" w:cstheme="minorHAnsi"/>
              </w:rPr>
              <w:t>ii. Renaming and Disaggregation of Ministry of Mines and Still Development to The Ministry of Solid Minerals Development (MSMD) and Ministry of Steel Development (MSD)</w:t>
            </w:r>
          </w:p>
          <w:p w14:paraId="05884251" w14:textId="77777777" w:rsidR="00B9786C" w:rsidRDefault="00B9786C" w:rsidP="002E7B49">
            <w:pPr>
              <w:rPr>
                <w:rFonts w:ascii="Calibri" w:eastAsia="Gentium Basic" w:hAnsi="Calibri" w:cstheme="minorHAnsi"/>
              </w:rPr>
            </w:pPr>
            <w:r w:rsidRPr="00BA40E4">
              <w:rPr>
                <w:rFonts w:ascii="Calibri" w:eastAsia="Gentium Basic" w:hAnsi="Calibri" w:cstheme="minorHAnsi"/>
              </w:rPr>
              <w:t xml:space="preserve">   Status: Implemented</w:t>
            </w:r>
          </w:p>
          <w:p w14:paraId="5764D9AB" w14:textId="77777777" w:rsidR="00B9786C" w:rsidRPr="006A7A8F" w:rsidRDefault="00B9786C" w:rsidP="002E7B49">
            <w:pPr>
              <w:rPr>
                <w:rFonts w:ascii="Calibri" w:eastAsia="Gentium Basic" w:hAnsi="Calibri" w:cstheme="minorHAnsi"/>
                <w:sz w:val="12"/>
                <w:szCs w:val="12"/>
              </w:rPr>
            </w:pPr>
          </w:p>
          <w:p w14:paraId="52FF5075" w14:textId="77777777" w:rsidR="00B9786C" w:rsidRPr="00BA40E4" w:rsidRDefault="00B9786C" w:rsidP="002E7B49">
            <w:pPr>
              <w:rPr>
                <w:rFonts w:ascii="Calibri" w:eastAsia="Gentium Basic" w:hAnsi="Calibri" w:cstheme="minorHAnsi"/>
              </w:rPr>
            </w:pPr>
            <w:r w:rsidRPr="00BA40E4">
              <w:rPr>
                <w:rFonts w:ascii="Calibri" w:eastAsia="Gentium Basic" w:hAnsi="Calibri" w:cstheme="minorHAnsi"/>
              </w:rPr>
              <w:t>iii. New Bill: Mining Host Communities Development Bill</w:t>
            </w:r>
          </w:p>
          <w:p w14:paraId="27BE8274" w14:textId="77777777" w:rsidR="00B9786C" w:rsidRDefault="00B9786C" w:rsidP="002E7B49">
            <w:pPr>
              <w:rPr>
                <w:rFonts w:ascii="Calibri" w:eastAsia="Gentium Basic" w:hAnsi="Calibri" w:cstheme="minorHAnsi"/>
              </w:rPr>
            </w:pPr>
            <w:r w:rsidRPr="00BA40E4">
              <w:rPr>
                <w:rFonts w:ascii="Calibri" w:eastAsia="Gentium Basic" w:hAnsi="Calibri" w:cstheme="minorHAnsi"/>
              </w:rPr>
              <w:t>Status: yet to be passed</w:t>
            </w:r>
          </w:p>
          <w:p w14:paraId="529F6FD6" w14:textId="77777777" w:rsidR="00B9786C" w:rsidRPr="006A7A8F" w:rsidRDefault="00B9786C" w:rsidP="002E7B49">
            <w:pPr>
              <w:rPr>
                <w:rFonts w:ascii="Calibri" w:eastAsia="Gentium Basic" w:hAnsi="Calibri" w:cstheme="minorHAnsi"/>
                <w:sz w:val="12"/>
                <w:szCs w:val="12"/>
              </w:rPr>
            </w:pPr>
          </w:p>
          <w:p w14:paraId="49923A76" w14:textId="77777777" w:rsidR="00B9786C" w:rsidRPr="00BA40E4" w:rsidRDefault="00B9786C" w:rsidP="002E7B49">
            <w:pPr>
              <w:rPr>
                <w:rFonts w:ascii="Calibri" w:eastAsia="Gentium Basic" w:hAnsi="Calibri" w:cstheme="minorHAnsi"/>
              </w:rPr>
            </w:pPr>
            <w:r w:rsidRPr="00BA40E4">
              <w:rPr>
                <w:rFonts w:ascii="Calibri" w:eastAsia="Gentium Basic" w:hAnsi="Calibri" w:cstheme="minorHAnsi"/>
              </w:rPr>
              <w:t>iv. New Bill: Environmental Protection and Rehabilitation Bill</w:t>
            </w:r>
          </w:p>
          <w:p w14:paraId="09D992EB" w14:textId="77777777" w:rsidR="00B9786C" w:rsidRPr="002053A6" w:rsidRDefault="00B9786C" w:rsidP="002E7B49">
            <w:pPr>
              <w:rPr>
                <w:rFonts w:ascii="Calibri" w:eastAsia="Gentium Basic" w:hAnsi="Calibri" w:cs="Calibri"/>
                <w:dstrike/>
              </w:rPr>
            </w:pPr>
            <w:r w:rsidRPr="00BA40E4">
              <w:rPr>
                <w:rFonts w:ascii="Calibri" w:eastAsia="Gentium Basic" w:hAnsi="Calibri" w:cstheme="minorHAnsi"/>
              </w:rPr>
              <w:t>Status: yet to be passed</w:t>
            </w:r>
          </w:p>
        </w:tc>
      </w:tr>
    </w:tbl>
    <w:p w14:paraId="6256A15B" w14:textId="77777777" w:rsidR="00B9786C" w:rsidRDefault="00B9786C" w:rsidP="00B9786C">
      <w:pPr>
        <w:rPr>
          <w:rFonts w:ascii="Calibri" w:hAnsi="Calibri" w:cs="Calibri"/>
          <w:b/>
          <w:bCs/>
          <w:u w:val="single"/>
        </w:rPr>
      </w:pPr>
    </w:p>
    <w:tbl>
      <w:tblPr>
        <w:tblStyle w:val="TableGrid1"/>
        <w:tblW w:w="9643" w:type="dxa"/>
        <w:tblLook w:val="04A0" w:firstRow="1" w:lastRow="0" w:firstColumn="1" w:lastColumn="0" w:noHBand="0" w:noVBand="1"/>
      </w:tblPr>
      <w:tblGrid>
        <w:gridCol w:w="5393"/>
        <w:gridCol w:w="1800"/>
        <w:gridCol w:w="2450"/>
      </w:tblGrid>
      <w:tr w:rsidR="00B9786C" w:rsidRPr="006A7A8F" w14:paraId="3005D0F7" w14:textId="77777777" w:rsidTr="002E7B49">
        <w:trPr>
          <w:trHeight w:val="264"/>
        </w:trPr>
        <w:tc>
          <w:tcPr>
            <w:tcW w:w="9643" w:type="dxa"/>
            <w:gridSpan w:val="3"/>
            <w:noWrap/>
            <w:hideMark/>
          </w:tcPr>
          <w:p w14:paraId="30791420" w14:textId="77777777" w:rsidR="00B9786C" w:rsidRPr="006A7A8F" w:rsidRDefault="00B9786C" w:rsidP="002E7B49">
            <w:pPr>
              <w:jc w:val="center"/>
              <w:rPr>
                <w:rFonts w:ascii="Calibri" w:hAnsi="Calibri"/>
                <w:color w:val="000000"/>
                <w:szCs w:val="22"/>
                <w:lang w:eastAsia="en-GB"/>
              </w:rPr>
            </w:pPr>
            <w:r w:rsidRPr="006A7A8F">
              <w:rPr>
                <w:rFonts w:ascii="Calibri" w:hAnsi="Calibri"/>
                <w:color w:val="000000"/>
                <w:szCs w:val="22"/>
                <w:lang w:eastAsia="en-GB"/>
              </w:rPr>
              <w:t>TOP 3 STATES WITH HIGHEST ROYALTY PAYMENT</w:t>
            </w:r>
          </w:p>
        </w:tc>
      </w:tr>
      <w:tr w:rsidR="00B9786C" w:rsidRPr="006A7A8F" w14:paraId="158B05C5" w14:textId="77777777" w:rsidTr="002E7B49">
        <w:trPr>
          <w:trHeight w:val="487"/>
        </w:trPr>
        <w:tc>
          <w:tcPr>
            <w:tcW w:w="5393" w:type="dxa"/>
            <w:hideMark/>
          </w:tcPr>
          <w:p w14:paraId="6A2E5631" w14:textId="77777777" w:rsidR="00B9786C" w:rsidRPr="006A7A8F" w:rsidRDefault="00B9786C" w:rsidP="002E7B49">
            <w:pPr>
              <w:jc w:val="center"/>
              <w:rPr>
                <w:rFonts w:ascii="Calibri" w:hAnsi="Calibri"/>
                <w:b/>
                <w:bCs/>
                <w:color w:val="000000"/>
                <w:szCs w:val="22"/>
                <w:lang w:eastAsia="en-GB"/>
              </w:rPr>
            </w:pPr>
            <w:r w:rsidRPr="006A7A8F">
              <w:rPr>
                <w:rFonts w:ascii="Calibri" w:hAnsi="Calibri"/>
                <w:b/>
                <w:bCs/>
                <w:color w:val="000000"/>
                <w:szCs w:val="22"/>
                <w:lang w:eastAsia="en-GB"/>
              </w:rPr>
              <w:t>STATE</w:t>
            </w:r>
          </w:p>
        </w:tc>
        <w:tc>
          <w:tcPr>
            <w:tcW w:w="1800" w:type="dxa"/>
            <w:hideMark/>
          </w:tcPr>
          <w:p w14:paraId="0EAD7410" w14:textId="77777777" w:rsidR="00B9786C" w:rsidRPr="006A7A8F" w:rsidRDefault="00B9786C" w:rsidP="002E7B49">
            <w:pPr>
              <w:jc w:val="center"/>
              <w:rPr>
                <w:rFonts w:ascii="Calibri" w:hAnsi="Calibri"/>
                <w:b/>
                <w:bCs/>
                <w:color w:val="000000"/>
                <w:szCs w:val="22"/>
                <w:lang w:eastAsia="en-GB"/>
              </w:rPr>
            </w:pPr>
            <w:r w:rsidRPr="006A7A8F">
              <w:rPr>
                <w:rFonts w:ascii="Calibri" w:hAnsi="Calibri"/>
                <w:b/>
                <w:bCs/>
                <w:color w:val="000000"/>
                <w:szCs w:val="22"/>
                <w:lang w:eastAsia="en-GB"/>
              </w:rPr>
              <w:t>QUANTITY (MT)</w:t>
            </w:r>
          </w:p>
        </w:tc>
        <w:tc>
          <w:tcPr>
            <w:tcW w:w="2449" w:type="dxa"/>
            <w:hideMark/>
          </w:tcPr>
          <w:p w14:paraId="2F4A509F" w14:textId="77777777" w:rsidR="00B9786C" w:rsidRDefault="00B9786C" w:rsidP="002E7B49">
            <w:pPr>
              <w:jc w:val="center"/>
              <w:rPr>
                <w:rFonts w:ascii="Calibri" w:hAnsi="Calibri"/>
                <w:b/>
                <w:bCs/>
                <w:color w:val="000000"/>
                <w:szCs w:val="22"/>
                <w:lang w:eastAsia="en-GB"/>
              </w:rPr>
            </w:pPr>
            <w:r w:rsidRPr="006A7A8F">
              <w:rPr>
                <w:rFonts w:ascii="Calibri" w:hAnsi="Calibri"/>
                <w:b/>
                <w:bCs/>
                <w:color w:val="000000"/>
                <w:szCs w:val="22"/>
                <w:lang w:eastAsia="en-GB"/>
              </w:rPr>
              <w:t>ROYALTY</w:t>
            </w:r>
          </w:p>
          <w:p w14:paraId="5103B030" w14:textId="77777777" w:rsidR="00B9786C" w:rsidRPr="006A7A8F" w:rsidRDefault="00B9786C" w:rsidP="002E7B49">
            <w:pPr>
              <w:jc w:val="center"/>
              <w:rPr>
                <w:rFonts w:ascii="Calibri" w:hAnsi="Calibri"/>
                <w:b/>
                <w:bCs/>
                <w:dstrike/>
                <w:color w:val="000000"/>
                <w:szCs w:val="22"/>
                <w:lang w:eastAsia="en-GB"/>
              </w:rPr>
            </w:pPr>
            <w:r w:rsidRPr="0000555A">
              <w:rPr>
                <w:rFonts w:ascii="Calibri" w:hAnsi="Calibri"/>
                <w:b/>
                <w:bCs/>
                <w:dstrike/>
                <w:color w:val="000000"/>
                <w:szCs w:val="22"/>
                <w:lang w:eastAsia="en-GB"/>
              </w:rPr>
              <w:t>N</w:t>
            </w:r>
          </w:p>
        </w:tc>
      </w:tr>
      <w:tr w:rsidR="00B9786C" w:rsidRPr="006A7A8F" w14:paraId="763ACC52" w14:textId="77777777" w:rsidTr="002E7B49">
        <w:trPr>
          <w:trHeight w:val="264"/>
        </w:trPr>
        <w:tc>
          <w:tcPr>
            <w:tcW w:w="5393" w:type="dxa"/>
            <w:noWrap/>
            <w:hideMark/>
          </w:tcPr>
          <w:p w14:paraId="1169125D" w14:textId="77777777" w:rsidR="00B9786C" w:rsidRPr="006A7A8F" w:rsidRDefault="00B9786C" w:rsidP="002E7B49">
            <w:pPr>
              <w:rPr>
                <w:rFonts w:ascii="Calibri" w:hAnsi="Calibri"/>
                <w:color w:val="000000"/>
                <w:szCs w:val="22"/>
                <w:lang w:eastAsia="en-GB"/>
              </w:rPr>
            </w:pPr>
            <w:r w:rsidRPr="006A7A8F">
              <w:rPr>
                <w:rFonts w:ascii="Calibri" w:hAnsi="Calibri"/>
                <w:color w:val="000000"/>
                <w:szCs w:val="22"/>
                <w:lang w:eastAsia="en-GB"/>
              </w:rPr>
              <w:t>Osun</w:t>
            </w:r>
          </w:p>
        </w:tc>
        <w:tc>
          <w:tcPr>
            <w:tcW w:w="1800" w:type="dxa"/>
            <w:hideMark/>
          </w:tcPr>
          <w:p w14:paraId="06F22B51"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1,191,934</w:t>
            </w:r>
          </w:p>
        </w:tc>
        <w:tc>
          <w:tcPr>
            <w:tcW w:w="2449" w:type="dxa"/>
            <w:hideMark/>
          </w:tcPr>
          <w:p w14:paraId="13747861"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1,589,087,781</w:t>
            </w:r>
          </w:p>
        </w:tc>
      </w:tr>
      <w:tr w:rsidR="00B9786C" w:rsidRPr="006A7A8F" w14:paraId="6280338D" w14:textId="77777777" w:rsidTr="002E7B49">
        <w:trPr>
          <w:trHeight w:val="264"/>
        </w:trPr>
        <w:tc>
          <w:tcPr>
            <w:tcW w:w="5393" w:type="dxa"/>
            <w:hideMark/>
          </w:tcPr>
          <w:p w14:paraId="48BD50A3" w14:textId="77777777" w:rsidR="00B9786C" w:rsidRPr="006A7A8F" w:rsidRDefault="00B9786C" w:rsidP="002E7B49">
            <w:pPr>
              <w:rPr>
                <w:rFonts w:ascii="Calibri" w:hAnsi="Calibri"/>
                <w:color w:val="000000"/>
                <w:szCs w:val="22"/>
                <w:lang w:eastAsia="en-GB"/>
              </w:rPr>
            </w:pPr>
            <w:r w:rsidRPr="006A7A8F">
              <w:rPr>
                <w:rFonts w:ascii="Calibri" w:hAnsi="Calibri"/>
                <w:color w:val="000000"/>
                <w:szCs w:val="22"/>
                <w:lang w:eastAsia="en-GB"/>
              </w:rPr>
              <w:t>Ogun</w:t>
            </w:r>
          </w:p>
        </w:tc>
        <w:tc>
          <w:tcPr>
            <w:tcW w:w="1800" w:type="dxa"/>
            <w:hideMark/>
          </w:tcPr>
          <w:p w14:paraId="21CB57F5"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15,340,100</w:t>
            </w:r>
          </w:p>
        </w:tc>
        <w:tc>
          <w:tcPr>
            <w:tcW w:w="2449" w:type="dxa"/>
            <w:hideMark/>
          </w:tcPr>
          <w:p w14:paraId="10FA0436"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1,185,989,333</w:t>
            </w:r>
          </w:p>
        </w:tc>
      </w:tr>
      <w:tr w:rsidR="00B9786C" w:rsidRPr="006A7A8F" w14:paraId="56ABCA56" w14:textId="77777777" w:rsidTr="002E7B49">
        <w:trPr>
          <w:trHeight w:val="264"/>
        </w:trPr>
        <w:tc>
          <w:tcPr>
            <w:tcW w:w="5393" w:type="dxa"/>
            <w:hideMark/>
          </w:tcPr>
          <w:p w14:paraId="6B46A14E" w14:textId="77777777" w:rsidR="00B9786C" w:rsidRPr="006A7A8F" w:rsidRDefault="00B9786C" w:rsidP="002E7B49">
            <w:pPr>
              <w:rPr>
                <w:rFonts w:ascii="Calibri" w:hAnsi="Calibri"/>
                <w:color w:val="000000"/>
                <w:szCs w:val="22"/>
                <w:lang w:eastAsia="en-GB"/>
              </w:rPr>
            </w:pPr>
            <w:r w:rsidRPr="006A7A8F">
              <w:rPr>
                <w:rFonts w:ascii="Calibri" w:hAnsi="Calibri"/>
                <w:color w:val="000000"/>
                <w:szCs w:val="22"/>
                <w:lang w:eastAsia="en-GB"/>
              </w:rPr>
              <w:t>Kogi</w:t>
            </w:r>
          </w:p>
        </w:tc>
        <w:tc>
          <w:tcPr>
            <w:tcW w:w="1800" w:type="dxa"/>
            <w:hideMark/>
          </w:tcPr>
          <w:p w14:paraId="0FA71B8F"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10,901,358</w:t>
            </w:r>
          </w:p>
        </w:tc>
        <w:tc>
          <w:tcPr>
            <w:tcW w:w="2449" w:type="dxa"/>
            <w:hideMark/>
          </w:tcPr>
          <w:p w14:paraId="18D8F7EC"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836,524,079.80</w:t>
            </w:r>
          </w:p>
        </w:tc>
      </w:tr>
      <w:tr w:rsidR="00B9786C" w:rsidRPr="006A7A8F" w14:paraId="5DE56A01" w14:textId="77777777" w:rsidTr="002E7B49">
        <w:trPr>
          <w:trHeight w:val="198"/>
        </w:trPr>
        <w:tc>
          <w:tcPr>
            <w:tcW w:w="9643" w:type="dxa"/>
            <w:gridSpan w:val="3"/>
            <w:noWrap/>
            <w:hideMark/>
          </w:tcPr>
          <w:p w14:paraId="177E2886" w14:textId="77777777" w:rsidR="00B9786C" w:rsidRPr="006A7A8F" w:rsidRDefault="00B9786C" w:rsidP="002E7B49">
            <w:pPr>
              <w:jc w:val="center"/>
              <w:rPr>
                <w:rFonts w:ascii="Calibri" w:hAnsi="Calibri"/>
                <w:color w:val="000000"/>
                <w:szCs w:val="22"/>
                <w:lang w:eastAsia="en-GB"/>
              </w:rPr>
            </w:pPr>
            <w:r w:rsidRPr="006A7A8F">
              <w:rPr>
                <w:rFonts w:ascii="Calibri" w:hAnsi="Calibri"/>
                <w:color w:val="000000"/>
                <w:szCs w:val="22"/>
                <w:lang w:eastAsia="en-GB"/>
              </w:rPr>
              <w:t>BOTTOM 3STATES WITH HIGHEST ROYALTY PAYMENT</w:t>
            </w:r>
          </w:p>
        </w:tc>
      </w:tr>
      <w:tr w:rsidR="00B9786C" w:rsidRPr="006A7A8F" w14:paraId="538D15A8" w14:textId="77777777" w:rsidTr="002E7B49">
        <w:trPr>
          <w:trHeight w:val="264"/>
        </w:trPr>
        <w:tc>
          <w:tcPr>
            <w:tcW w:w="5393" w:type="dxa"/>
            <w:noWrap/>
            <w:hideMark/>
          </w:tcPr>
          <w:p w14:paraId="45209396" w14:textId="77777777" w:rsidR="00B9786C" w:rsidRPr="006A7A8F" w:rsidRDefault="00B9786C" w:rsidP="002E7B49">
            <w:pPr>
              <w:rPr>
                <w:rFonts w:ascii="Calibri" w:hAnsi="Calibri"/>
                <w:color w:val="000000"/>
                <w:szCs w:val="22"/>
                <w:lang w:eastAsia="en-GB"/>
              </w:rPr>
            </w:pPr>
            <w:r w:rsidRPr="006A7A8F">
              <w:rPr>
                <w:rFonts w:ascii="Calibri" w:hAnsi="Calibri"/>
                <w:color w:val="000000"/>
                <w:szCs w:val="22"/>
                <w:lang w:eastAsia="en-GB"/>
              </w:rPr>
              <w:t>Yobe</w:t>
            </w:r>
          </w:p>
        </w:tc>
        <w:tc>
          <w:tcPr>
            <w:tcW w:w="1800" w:type="dxa"/>
            <w:hideMark/>
          </w:tcPr>
          <w:p w14:paraId="0DCAB890"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113,467</w:t>
            </w:r>
          </w:p>
        </w:tc>
        <w:tc>
          <w:tcPr>
            <w:tcW w:w="2449" w:type="dxa"/>
            <w:hideMark/>
          </w:tcPr>
          <w:p w14:paraId="35172256"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5,449,241.25</w:t>
            </w:r>
          </w:p>
        </w:tc>
      </w:tr>
      <w:tr w:rsidR="00B9786C" w:rsidRPr="006A7A8F" w14:paraId="01FD9DD6" w14:textId="77777777" w:rsidTr="002E7B49">
        <w:trPr>
          <w:trHeight w:val="264"/>
        </w:trPr>
        <w:tc>
          <w:tcPr>
            <w:tcW w:w="5393" w:type="dxa"/>
            <w:hideMark/>
          </w:tcPr>
          <w:p w14:paraId="6684B4C2" w14:textId="77777777" w:rsidR="00B9786C" w:rsidRPr="006A7A8F" w:rsidRDefault="00B9786C" w:rsidP="002E7B49">
            <w:pPr>
              <w:rPr>
                <w:rFonts w:ascii="Calibri" w:hAnsi="Calibri"/>
                <w:color w:val="000000"/>
                <w:szCs w:val="22"/>
                <w:lang w:eastAsia="en-GB"/>
              </w:rPr>
            </w:pPr>
            <w:r w:rsidRPr="006A7A8F">
              <w:rPr>
                <w:rFonts w:ascii="Calibri" w:hAnsi="Calibri"/>
                <w:color w:val="000000"/>
                <w:szCs w:val="22"/>
                <w:lang w:eastAsia="en-GB"/>
              </w:rPr>
              <w:t>Imo</w:t>
            </w:r>
          </w:p>
        </w:tc>
        <w:tc>
          <w:tcPr>
            <w:tcW w:w="1800" w:type="dxa"/>
            <w:hideMark/>
          </w:tcPr>
          <w:p w14:paraId="0C175171"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40,468</w:t>
            </w:r>
          </w:p>
        </w:tc>
        <w:tc>
          <w:tcPr>
            <w:tcW w:w="2449" w:type="dxa"/>
            <w:hideMark/>
          </w:tcPr>
          <w:p w14:paraId="759C2328"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2,118,190</w:t>
            </w:r>
          </w:p>
        </w:tc>
      </w:tr>
      <w:tr w:rsidR="00B9786C" w:rsidRPr="006A7A8F" w14:paraId="4B1D4AA4" w14:textId="77777777" w:rsidTr="002E7B49">
        <w:trPr>
          <w:trHeight w:val="264"/>
        </w:trPr>
        <w:tc>
          <w:tcPr>
            <w:tcW w:w="5393" w:type="dxa"/>
            <w:hideMark/>
          </w:tcPr>
          <w:p w14:paraId="799CC838" w14:textId="77777777" w:rsidR="00B9786C" w:rsidRPr="006A7A8F" w:rsidRDefault="00B9786C" w:rsidP="002E7B49">
            <w:pPr>
              <w:rPr>
                <w:rFonts w:ascii="Calibri" w:hAnsi="Calibri"/>
                <w:color w:val="000000"/>
                <w:szCs w:val="22"/>
                <w:lang w:eastAsia="en-GB"/>
              </w:rPr>
            </w:pPr>
            <w:r w:rsidRPr="006A7A8F">
              <w:rPr>
                <w:rFonts w:ascii="Calibri" w:hAnsi="Calibri"/>
                <w:color w:val="000000"/>
                <w:szCs w:val="22"/>
                <w:lang w:eastAsia="en-GB"/>
              </w:rPr>
              <w:t>Borno</w:t>
            </w:r>
          </w:p>
        </w:tc>
        <w:tc>
          <w:tcPr>
            <w:tcW w:w="1800" w:type="dxa"/>
            <w:hideMark/>
          </w:tcPr>
          <w:p w14:paraId="0EBA165E"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9,352</w:t>
            </w:r>
          </w:p>
        </w:tc>
        <w:tc>
          <w:tcPr>
            <w:tcW w:w="2449" w:type="dxa"/>
            <w:noWrap/>
            <w:hideMark/>
          </w:tcPr>
          <w:p w14:paraId="13F8CEAC" w14:textId="77777777" w:rsidR="00B9786C" w:rsidRPr="006A7A8F" w:rsidRDefault="00B9786C" w:rsidP="002E7B49">
            <w:pPr>
              <w:jc w:val="right"/>
              <w:rPr>
                <w:rFonts w:ascii="Calibri" w:hAnsi="Calibri"/>
                <w:color w:val="000000"/>
                <w:szCs w:val="22"/>
                <w:lang w:eastAsia="en-GB"/>
              </w:rPr>
            </w:pPr>
            <w:r w:rsidRPr="006A7A8F">
              <w:rPr>
                <w:rFonts w:ascii="Calibri" w:hAnsi="Calibri"/>
                <w:color w:val="000000"/>
                <w:szCs w:val="22"/>
                <w:lang w:eastAsia="en-GB"/>
              </w:rPr>
              <w:t>134,973</w:t>
            </w:r>
          </w:p>
        </w:tc>
      </w:tr>
    </w:tbl>
    <w:p w14:paraId="3DC54B39" w14:textId="77777777" w:rsidR="00B9786C" w:rsidRPr="002053A6" w:rsidRDefault="00B9786C" w:rsidP="00B9786C">
      <w:pPr>
        <w:rPr>
          <w:rFonts w:ascii="Calibri" w:hAnsi="Calibri" w:cs="Calibri"/>
          <w:b/>
          <w:bCs/>
          <w:u w:val="single"/>
        </w:rPr>
      </w:pPr>
    </w:p>
    <w:p w14:paraId="54E394C9" w14:textId="77777777" w:rsidR="00B9786C" w:rsidRPr="002053A6" w:rsidRDefault="00B9786C" w:rsidP="00B9786C">
      <w:pPr>
        <w:rPr>
          <w:rFonts w:ascii="Calibri" w:hAnsi="Calibri" w:cs="Calibri"/>
          <w:b/>
          <w:bCs/>
          <w:u w:val="single"/>
        </w:rPr>
      </w:pPr>
      <w:r w:rsidRPr="002053A6">
        <w:rPr>
          <w:rFonts w:ascii="Calibri" w:hAnsi="Calibri" w:cs="Calibri"/>
          <w:b/>
          <w:bCs/>
          <w:u w:val="single"/>
        </w:rPr>
        <w:t>Summary of Findings and Recommendations</w:t>
      </w:r>
    </w:p>
    <w:p w14:paraId="39CFBD02" w14:textId="77777777" w:rsidR="00B9786C" w:rsidRPr="002053A6" w:rsidRDefault="00B9786C" w:rsidP="00B9786C">
      <w:pPr>
        <w:rPr>
          <w:rFonts w:ascii="Calibri" w:hAnsi="Calibri" w:cs="Calibri"/>
        </w:rPr>
      </w:pPr>
      <w:r w:rsidRPr="002053A6">
        <w:rPr>
          <w:rFonts w:ascii="Calibri" w:hAnsi="Calibri" w:cs="Calibri"/>
        </w:rPr>
        <w:t>Below are summary of key findings and recommendations:</w:t>
      </w:r>
    </w:p>
    <w:p w14:paraId="7192D555" w14:textId="77777777" w:rsidR="00B9786C" w:rsidRPr="002053A6" w:rsidRDefault="00B9786C" w:rsidP="00B9786C">
      <w:pPr>
        <w:jc w:val="center"/>
        <w:rPr>
          <w:rFonts w:ascii="Calibri" w:hAnsi="Calibri" w:cs="Calibri"/>
          <w:b/>
          <w:bCs/>
        </w:rPr>
        <w:sectPr w:rsidR="00B9786C" w:rsidRPr="002053A6" w:rsidSect="00B9786C">
          <w:headerReference w:type="default" r:id="rId7"/>
          <w:footerReference w:type="default" r:id="rId8"/>
          <w:pgSz w:w="11900" w:h="16840"/>
          <w:pgMar w:top="1980" w:right="1127" w:bottom="1985" w:left="1298" w:header="720" w:footer="567" w:gutter="0"/>
          <w:cols w:space="496"/>
          <w:docGrid w:linePitch="360"/>
        </w:sectPr>
      </w:pPr>
    </w:p>
    <w:tbl>
      <w:tblPr>
        <w:tblStyle w:val="GridTable4-Accent61"/>
        <w:tblW w:w="14884" w:type="dxa"/>
        <w:tblInd w:w="-690" w:type="dxa"/>
        <w:tblLook w:val="04A0" w:firstRow="1" w:lastRow="0" w:firstColumn="1" w:lastColumn="0" w:noHBand="0" w:noVBand="1"/>
      </w:tblPr>
      <w:tblGrid>
        <w:gridCol w:w="591"/>
        <w:gridCol w:w="6497"/>
        <w:gridCol w:w="7796"/>
      </w:tblGrid>
      <w:tr w:rsidR="00B9786C" w:rsidRPr="002053A6" w14:paraId="29FA4C62" w14:textId="77777777" w:rsidTr="002E7B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290F1564" w14:textId="77777777" w:rsidR="00B9786C" w:rsidRPr="002053A6" w:rsidRDefault="00B9786C" w:rsidP="002E7B49">
            <w:pPr>
              <w:jc w:val="center"/>
              <w:rPr>
                <w:rFonts w:ascii="Calibri" w:hAnsi="Calibri" w:cs="Calibri"/>
                <w:color w:val="auto"/>
              </w:rPr>
            </w:pPr>
            <w:r w:rsidRPr="002053A6">
              <w:rPr>
                <w:rFonts w:ascii="Calibri" w:hAnsi="Calibri" w:cs="Calibri"/>
                <w:color w:val="auto"/>
              </w:rPr>
              <w:lastRenderedPageBreak/>
              <w:t>S/N</w:t>
            </w:r>
          </w:p>
        </w:tc>
        <w:tc>
          <w:tcPr>
            <w:tcW w:w="6497" w:type="dxa"/>
          </w:tcPr>
          <w:p w14:paraId="42B46C61" w14:textId="77777777" w:rsidR="00B9786C" w:rsidRPr="002053A6" w:rsidRDefault="00B9786C" w:rsidP="002E7B49">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rPr>
            </w:pPr>
            <w:r w:rsidRPr="002053A6">
              <w:rPr>
                <w:rFonts w:ascii="Calibri" w:hAnsi="Calibri" w:cs="Calibri"/>
                <w:bCs w:val="0"/>
                <w:color w:val="auto"/>
              </w:rPr>
              <w:t>SPECIFIC FINDINGS</w:t>
            </w:r>
          </w:p>
        </w:tc>
        <w:tc>
          <w:tcPr>
            <w:tcW w:w="7796" w:type="dxa"/>
          </w:tcPr>
          <w:p w14:paraId="1EAE90EB" w14:textId="77777777" w:rsidR="00B9786C" w:rsidRPr="002053A6" w:rsidRDefault="00B9786C" w:rsidP="002E7B49">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rPr>
            </w:pPr>
            <w:r w:rsidRPr="002053A6">
              <w:rPr>
                <w:rFonts w:ascii="Calibri" w:hAnsi="Calibri" w:cs="Calibri"/>
                <w:color w:val="auto"/>
              </w:rPr>
              <w:t>RECOMMENDATION</w:t>
            </w:r>
          </w:p>
        </w:tc>
      </w:tr>
      <w:tr w:rsidR="00B9786C" w:rsidRPr="002053A6" w14:paraId="70EF093D" w14:textId="77777777" w:rsidTr="002E7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02510A3F" w14:textId="77777777" w:rsidR="00B9786C" w:rsidRPr="002053A6" w:rsidRDefault="00B9786C" w:rsidP="002E7B49">
            <w:pPr>
              <w:rPr>
                <w:rFonts w:ascii="Calibri" w:hAnsi="Calibri" w:cs="Calibri"/>
              </w:rPr>
            </w:pPr>
            <w:r w:rsidRPr="002053A6">
              <w:rPr>
                <w:rFonts w:ascii="Calibri" w:hAnsi="Calibri" w:cs="Calibri"/>
              </w:rPr>
              <w:t>1</w:t>
            </w:r>
          </w:p>
        </w:tc>
        <w:tc>
          <w:tcPr>
            <w:tcW w:w="6497" w:type="dxa"/>
          </w:tcPr>
          <w:p w14:paraId="7A02C0AA"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b/>
                <w:bCs/>
              </w:rPr>
              <w:t xml:space="preserve">High number of non-active operators: </w:t>
            </w:r>
          </w:p>
          <w:p w14:paraId="56A63949"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rPr>
              <w:t>The presence of many non-active operators in the sector suggests that some license holders are merely speculative, which discourages genuine investors and reduces potential revenue for the country.</w:t>
            </w:r>
          </w:p>
        </w:tc>
        <w:tc>
          <w:tcPr>
            <w:tcW w:w="7796" w:type="dxa"/>
          </w:tcPr>
          <w:p w14:paraId="41F09C48" w14:textId="77777777" w:rsidR="00B9786C" w:rsidRPr="002053A6" w:rsidRDefault="00B9786C" w:rsidP="00B9786C">
            <w:pPr>
              <w:pStyle w:val="ListParagraph"/>
              <w:numPr>
                <w:ilvl w:val="0"/>
                <w:numId w:val="16"/>
              </w:num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The Ministry of Mining Development and Mining Cadastre Office (MCO) should create a system of monitoring and tracking the operators that are active and non-active within the sector</w:t>
            </w:r>
          </w:p>
          <w:p w14:paraId="46A84C2D" w14:textId="77777777" w:rsidR="00B9786C" w:rsidRPr="002053A6" w:rsidRDefault="00B9786C" w:rsidP="00B9786C">
            <w:pPr>
              <w:pStyle w:val="ListParagraph"/>
              <w:numPr>
                <w:ilvl w:val="0"/>
                <w:numId w:val="16"/>
              </w:num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MCO should Enforce the penalty of non-usage of licenses as stipulated in the Minerals and Mining Regulations 2011 which states that Part II, Section 93.</w:t>
            </w:r>
          </w:p>
          <w:p w14:paraId="417F21E8" w14:textId="77777777" w:rsidR="00B9786C" w:rsidRPr="002053A6" w:rsidRDefault="00B9786C" w:rsidP="00B9786C">
            <w:pPr>
              <w:pStyle w:val="ListParagraph"/>
              <w:numPr>
                <w:ilvl w:val="0"/>
                <w:numId w:val="16"/>
              </w:num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The Government should increase funding and introduce appropriate technology to support accounting, monitoring and enforcement activities.</w:t>
            </w:r>
          </w:p>
          <w:p w14:paraId="454486AA" w14:textId="77777777" w:rsidR="00B9786C" w:rsidRPr="002053A6" w:rsidRDefault="00B9786C" w:rsidP="00B9786C">
            <w:pPr>
              <w:pStyle w:val="ListParagraph"/>
              <w:numPr>
                <w:ilvl w:val="0"/>
                <w:numId w:val="16"/>
              </w:numPr>
              <w:spacing w:after="240"/>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 xml:space="preserve">The Federal Government should encourage whistle blowing on illegal mining and environmental violations by putting in place compatible policies  </w:t>
            </w:r>
          </w:p>
        </w:tc>
      </w:tr>
      <w:tr w:rsidR="00B9786C" w:rsidRPr="002053A6" w14:paraId="0EADAF4F" w14:textId="77777777" w:rsidTr="002E7B49">
        <w:tc>
          <w:tcPr>
            <w:cnfStyle w:val="001000000000" w:firstRow="0" w:lastRow="0" w:firstColumn="1" w:lastColumn="0" w:oddVBand="0" w:evenVBand="0" w:oddHBand="0" w:evenHBand="0" w:firstRowFirstColumn="0" w:firstRowLastColumn="0" w:lastRowFirstColumn="0" w:lastRowLastColumn="0"/>
            <w:tcW w:w="591" w:type="dxa"/>
            <w:vAlign w:val="center"/>
          </w:tcPr>
          <w:p w14:paraId="1D424F11" w14:textId="77777777" w:rsidR="00B9786C" w:rsidRPr="002053A6" w:rsidRDefault="00B9786C" w:rsidP="002E7B49">
            <w:pPr>
              <w:rPr>
                <w:rFonts w:ascii="Calibri" w:hAnsi="Calibri" w:cs="Calibri"/>
              </w:rPr>
            </w:pPr>
            <w:r w:rsidRPr="002053A6">
              <w:rPr>
                <w:rFonts w:ascii="Calibri" w:hAnsi="Calibri" w:cs="Calibri"/>
              </w:rPr>
              <w:t>2</w:t>
            </w:r>
          </w:p>
        </w:tc>
        <w:tc>
          <w:tcPr>
            <w:tcW w:w="6497" w:type="dxa"/>
          </w:tcPr>
          <w:p w14:paraId="13DFF3DA"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en-GB"/>
              </w:rPr>
            </w:pPr>
            <w:r w:rsidRPr="002053A6">
              <w:rPr>
                <w:rFonts w:ascii="Calibri" w:hAnsi="Calibri" w:cs="Calibri"/>
                <w:bCs/>
                <w:lang w:eastAsia="en-GB"/>
              </w:rPr>
              <w:t>A total of 628 exploration licenses were issued, but none were converted to mining licenses, indicating speculative holding. This practice hinders serious investors, negatively impacts reserve growth, and leads to future revenue losses and illegal mining, undermining the sector’s growth and potential.</w:t>
            </w:r>
          </w:p>
          <w:p w14:paraId="119AC046"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en-GB"/>
              </w:rPr>
            </w:pPr>
          </w:p>
          <w:p w14:paraId="78CEFB3E"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 xml:space="preserve">Decline in the issuance of license </w:t>
            </w:r>
          </w:p>
          <w:p w14:paraId="3789741B"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Cs/>
                <w:lang w:eastAsia="en-GB"/>
              </w:rPr>
            </w:pPr>
            <w:r w:rsidRPr="002053A6">
              <w:rPr>
                <w:rFonts w:ascii="Calibri" w:hAnsi="Calibri" w:cs="Calibri"/>
                <w:bCs/>
                <w:lang w:eastAsia="en-GB"/>
              </w:rPr>
              <w:t xml:space="preserve">While the number of SSML declined from </w:t>
            </w:r>
            <w:r w:rsidRPr="002053A6">
              <w:rPr>
                <w:rFonts w:ascii="Calibri" w:hAnsi="Calibri" w:cs="Calibri"/>
              </w:rPr>
              <w:t>771 in 2021 to 502 in 2022. This represents 34.8% decline from the previous year (2022).</w:t>
            </w:r>
          </w:p>
          <w:p w14:paraId="2F380FF1"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7796" w:type="dxa"/>
          </w:tcPr>
          <w:p w14:paraId="14C86C1E"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rPr>
              <w:t>These are some of recommendations to the findings</w:t>
            </w:r>
          </w:p>
          <w:p w14:paraId="67E86D06"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Encourage Exploration:</w:t>
            </w:r>
            <w:r w:rsidRPr="002053A6">
              <w:rPr>
                <w:rFonts w:ascii="Calibri" w:hAnsi="Calibri" w:cs="Calibri"/>
              </w:rPr>
              <w:t xml:space="preserve"> License holders should start exploration within the stipulated time or face license withdrawal.</w:t>
            </w:r>
          </w:p>
          <w:p w14:paraId="5AAB6CE0"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Revise Licensing Policies:</w:t>
            </w:r>
            <w:r w:rsidRPr="002053A6">
              <w:rPr>
                <w:rFonts w:ascii="Calibri" w:hAnsi="Calibri" w:cs="Calibri"/>
              </w:rPr>
              <w:t xml:space="preserve"> Simplify procedures, reduce delays, and tie new licenses to local value addition.</w:t>
            </w:r>
          </w:p>
          <w:p w14:paraId="7D7CA437"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Enhance Regulatory Framework:</w:t>
            </w:r>
            <w:r w:rsidRPr="002053A6">
              <w:rPr>
                <w:rFonts w:ascii="Calibri" w:hAnsi="Calibri" w:cs="Calibri"/>
              </w:rPr>
              <w:t xml:space="preserve"> Strengthen regulatory bodies, enforce compliance, and implement digital solutions to reduce corruption.</w:t>
            </w:r>
          </w:p>
          <w:p w14:paraId="31B4BFD4"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Promote Investment:</w:t>
            </w:r>
            <w:r w:rsidRPr="002053A6">
              <w:rPr>
                <w:rFonts w:ascii="Calibri" w:hAnsi="Calibri" w:cs="Calibri"/>
              </w:rPr>
              <w:t xml:space="preserve"> Attract investors through incentives and roadshows, and encourage public-private partnerships.</w:t>
            </w:r>
          </w:p>
          <w:p w14:paraId="7E2FE694"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Improve Infrastructure:</w:t>
            </w:r>
            <w:r w:rsidRPr="002053A6">
              <w:rPr>
                <w:rFonts w:ascii="Calibri" w:hAnsi="Calibri" w:cs="Calibri"/>
              </w:rPr>
              <w:t xml:space="preserve"> Invest in transport and power infrastructure to support mining operations and reduce costs.</w:t>
            </w:r>
          </w:p>
        </w:tc>
      </w:tr>
      <w:tr w:rsidR="00B9786C" w:rsidRPr="002053A6" w14:paraId="60D596E7" w14:textId="77777777" w:rsidTr="002E7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382B20C6" w14:textId="77777777" w:rsidR="00B9786C" w:rsidRPr="002053A6" w:rsidRDefault="00B9786C" w:rsidP="002E7B49">
            <w:pPr>
              <w:rPr>
                <w:rFonts w:ascii="Calibri" w:hAnsi="Calibri" w:cs="Calibri"/>
              </w:rPr>
            </w:pPr>
          </w:p>
        </w:tc>
        <w:tc>
          <w:tcPr>
            <w:tcW w:w="6497" w:type="dxa"/>
          </w:tcPr>
          <w:p w14:paraId="699512CF"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Cs/>
              </w:rPr>
              <w:t>The availability of Beneficial Ownership (BO) information in Nigeria’s solid minerals sector faces several challenges:</w:t>
            </w:r>
          </w:p>
          <w:p w14:paraId="16FF88F6" w14:textId="77777777" w:rsidR="00B9786C" w:rsidRPr="002053A6" w:rsidRDefault="00B9786C" w:rsidP="00B9786C">
            <w:pPr>
              <w:pStyle w:val="ListParagraph"/>
              <w:numPr>
                <w:ilvl w:val="0"/>
                <w:numId w:val="17"/>
              </w:numPr>
              <w:spacing w:after="240"/>
              <w:ind w:left="130" w:hanging="23"/>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Complex Ownership Structures:</w:t>
            </w:r>
            <w:r w:rsidRPr="002053A6">
              <w:rPr>
                <w:rFonts w:ascii="Calibri" w:hAnsi="Calibri" w:cs="Calibri"/>
                <w:bCs/>
              </w:rPr>
              <w:t xml:space="preserve"> Companies use intricate structures to hide true owners.</w:t>
            </w:r>
          </w:p>
          <w:p w14:paraId="6435FF36" w14:textId="77777777" w:rsidR="00B9786C" w:rsidRPr="002053A6" w:rsidRDefault="00B9786C" w:rsidP="00B9786C">
            <w:pPr>
              <w:pStyle w:val="ListParagraph"/>
              <w:numPr>
                <w:ilvl w:val="0"/>
                <w:numId w:val="17"/>
              </w:numPr>
              <w:spacing w:after="240"/>
              <w:ind w:left="130" w:hanging="23"/>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Regulatory Inconsistencies: Gaps</w:t>
            </w:r>
            <w:r w:rsidRPr="002053A6">
              <w:rPr>
                <w:rFonts w:ascii="Calibri" w:hAnsi="Calibri" w:cs="Calibri"/>
                <w:bCs/>
              </w:rPr>
              <w:t xml:space="preserve"> and inconsistencies in regulations hinder effective BO information collection and sharing.</w:t>
            </w:r>
          </w:p>
          <w:p w14:paraId="068C9D27" w14:textId="77777777" w:rsidR="00B9786C" w:rsidRPr="002053A6" w:rsidRDefault="00B9786C" w:rsidP="00B9786C">
            <w:pPr>
              <w:pStyle w:val="ListParagraph"/>
              <w:numPr>
                <w:ilvl w:val="0"/>
                <w:numId w:val="17"/>
              </w:numPr>
              <w:spacing w:after="240"/>
              <w:ind w:left="130" w:hanging="23"/>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lastRenderedPageBreak/>
              <w:t>Data Quality Issues:</w:t>
            </w:r>
            <w:r w:rsidRPr="002053A6">
              <w:rPr>
                <w:rFonts w:ascii="Calibri" w:hAnsi="Calibri" w:cs="Calibri"/>
                <w:bCs/>
              </w:rPr>
              <w:t xml:space="preserve"> Available BO information may be incomplete or inaccurate due to inadequate verification.</w:t>
            </w:r>
          </w:p>
          <w:p w14:paraId="5B758F2C" w14:textId="77777777" w:rsidR="00B9786C" w:rsidRPr="002053A6" w:rsidRDefault="00B9786C" w:rsidP="00B9786C">
            <w:pPr>
              <w:pStyle w:val="ListParagraph"/>
              <w:numPr>
                <w:ilvl w:val="0"/>
                <w:numId w:val="17"/>
              </w:numPr>
              <w:spacing w:after="240"/>
              <w:ind w:left="130" w:hanging="23"/>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Limited Public Access:</w:t>
            </w:r>
            <w:r w:rsidRPr="002053A6">
              <w:rPr>
                <w:rFonts w:ascii="Calibri" w:hAnsi="Calibri" w:cs="Calibri"/>
                <w:bCs/>
              </w:rPr>
              <w:t xml:space="preserve"> Restricted access to BO information limits its usefulness for stakeholders.</w:t>
            </w:r>
          </w:p>
          <w:p w14:paraId="4802790E" w14:textId="77777777" w:rsidR="00B9786C" w:rsidRPr="002053A6" w:rsidRDefault="00B9786C" w:rsidP="00B9786C">
            <w:pPr>
              <w:pStyle w:val="ListParagraph"/>
              <w:numPr>
                <w:ilvl w:val="0"/>
                <w:numId w:val="17"/>
              </w:numPr>
              <w:spacing w:after="240"/>
              <w:ind w:left="130" w:hanging="23"/>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Weak Enforcement:</w:t>
            </w:r>
            <w:r w:rsidRPr="002053A6">
              <w:rPr>
                <w:rFonts w:ascii="Calibri" w:hAnsi="Calibri" w:cs="Calibri"/>
                <w:bCs/>
              </w:rPr>
              <w:t xml:space="preserve"> Poor enforcement of regulations leads to non-compliance by companies.</w:t>
            </w:r>
          </w:p>
          <w:p w14:paraId="21EAE169" w14:textId="77777777" w:rsidR="00B9786C" w:rsidRPr="002053A6" w:rsidRDefault="00B9786C" w:rsidP="00B9786C">
            <w:pPr>
              <w:pStyle w:val="ListParagraph"/>
              <w:numPr>
                <w:ilvl w:val="0"/>
                <w:numId w:val="17"/>
              </w:numPr>
              <w:spacing w:after="240"/>
              <w:ind w:left="130" w:hanging="23"/>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Unharmonized Data</w:t>
            </w:r>
            <w:r w:rsidRPr="002053A6">
              <w:rPr>
                <w:rFonts w:ascii="Calibri" w:hAnsi="Calibri" w:cs="Calibri"/>
                <w:bCs/>
              </w:rPr>
              <w:t>: Data from agencies like MCO, CAC, and NEITI are not aligned.</w:t>
            </w:r>
          </w:p>
          <w:p w14:paraId="4AD62C05"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Cs/>
              </w:rPr>
              <w:t>These challenges impede efforts to combat corruption, money laundering, and other illicit activities in the sector.</w:t>
            </w:r>
          </w:p>
          <w:p w14:paraId="1563A279"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p>
        </w:tc>
        <w:tc>
          <w:tcPr>
            <w:tcW w:w="7796" w:type="dxa"/>
          </w:tcPr>
          <w:p w14:paraId="2A5CA997"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pPr>
            <w:r w:rsidRPr="002053A6">
              <w:lastRenderedPageBreak/>
              <w:t>To address the challenges of Beneficial Ownership (BO) information in Nigeria’s solid minerals sector, a multi-faceted approach is recommended:</w:t>
            </w:r>
          </w:p>
          <w:p w14:paraId="3FE2D115"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Strengthen Legal Frameworks:</w:t>
            </w:r>
            <w:r w:rsidRPr="002053A6">
              <w:t xml:space="preserve"> Implement robust laws mandating BO disclosure, aligning with international standards.</w:t>
            </w:r>
          </w:p>
          <w:p w14:paraId="7B7BFA8D"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Strengthen Enforcement Mechanisms</w:t>
            </w:r>
            <w:r w:rsidRPr="002053A6">
              <w:t>: Enforce strong penalties for non-compliance to deter companies from hiding BO information.</w:t>
            </w:r>
          </w:p>
          <w:p w14:paraId="5E47F0F3"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lastRenderedPageBreak/>
              <w:t>Improve Data Collection and Verification:</w:t>
            </w:r>
            <w:r w:rsidRPr="002053A6">
              <w:t xml:space="preserve"> Establish comprehensive systems for accurate and complete BO data, using centralized registries and technology.</w:t>
            </w:r>
          </w:p>
          <w:p w14:paraId="08F392B1"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Enhance Transparency and Public Access:</w:t>
            </w:r>
            <w:r w:rsidRPr="002053A6">
              <w:t xml:space="preserve"> Make BO information publicly accessible through online platforms for increased transparency and accountability.</w:t>
            </w:r>
          </w:p>
          <w:p w14:paraId="034F3FCF"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Capacity Building and Training:</w:t>
            </w:r>
            <w:r w:rsidRPr="002053A6">
              <w:t xml:space="preserve"> Train regulatory authorities, companies, and stakeholders on BO transparency and compliance.</w:t>
            </w:r>
          </w:p>
          <w:p w14:paraId="124FA1D2"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Centralize Data:</w:t>
            </w:r>
            <w:r w:rsidRPr="002053A6">
              <w:t xml:space="preserve"> Centralize BO data for access by relevant agencies.</w:t>
            </w:r>
          </w:p>
          <w:p w14:paraId="13FFC2EC"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International Cooperation:</w:t>
            </w:r>
            <w:r w:rsidRPr="002053A6">
              <w:t xml:space="preserve"> </w:t>
            </w:r>
            <w:proofErr w:type="spellStart"/>
            <w:r w:rsidRPr="002053A6">
              <w:t>Col</w:t>
            </w:r>
            <w:r>
              <w:t>Labour</w:t>
            </w:r>
            <w:r w:rsidRPr="002053A6">
              <w:t>ate</w:t>
            </w:r>
            <w:proofErr w:type="spellEnd"/>
            <w:r w:rsidRPr="002053A6">
              <w:t xml:space="preserve"> with international bodies to harmonize regulations and facilitate cross-border BO information exchange.</w:t>
            </w:r>
          </w:p>
          <w:p w14:paraId="55E582BE" w14:textId="77777777" w:rsidR="00B9786C" w:rsidRPr="002053A6" w:rsidRDefault="00B9786C" w:rsidP="00B9786C">
            <w:pPr>
              <w:pStyle w:val="ListParagraph"/>
              <w:numPr>
                <w:ilvl w:val="0"/>
                <w:numId w:val="18"/>
              </w:numPr>
              <w:spacing w:after="240"/>
              <w:ind w:left="293" w:hanging="143"/>
              <w:jc w:val="both"/>
              <w:cnfStyle w:val="000000100000" w:firstRow="0" w:lastRow="0" w:firstColumn="0" w:lastColumn="0" w:oddVBand="0" w:evenVBand="0" w:oddHBand="1" w:evenHBand="0" w:firstRowFirstColumn="0" w:firstRowLastColumn="0" w:lastRowFirstColumn="0" w:lastRowLastColumn="0"/>
            </w:pPr>
            <w:r w:rsidRPr="002053A6">
              <w:rPr>
                <w:b/>
              </w:rPr>
              <w:t>Engage Stakeholders</w:t>
            </w:r>
            <w:r w:rsidRPr="002053A6">
              <w:t>: Involve government agencies, the private sector, and civil society in BO transparency initiatives.</w:t>
            </w:r>
          </w:p>
        </w:tc>
      </w:tr>
      <w:tr w:rsidR="00B9786C" w:rsidRPr="002053A6" w14:paraId="44C4A590" w14:textId="77777777" w:rsidTr="002E7B49">
        <w:tc>
          <w:tcPr>
            <w:cnfStyle w:val="001000000000" w:firstRow="0" w:lastRow="0" w:firstColumn="1" w:lastColumn="0" w:oddVBand="0" w:evenVBand="0" w:oddHBand="0" w:evenHBand="0" w:firstRowFirstColumn="0" w:firstRowLastColumn="0" w:lastRowFirstColumn="0" w:lastRowLastColumn="0"/>
            <w:tcW w:w="591" w:type="dxa"/>
            <w:vAlign w:val="center"/>
          </w:tcPr>
          <w:p w14:paraId="7D0AFAA0" w14:textId="77777777" w:rsidR="00B9786C" w:rsidRPr="002053A6" w:rsidRDefault="00B9786C" w:rsidP="002E7B49">
            <w:pPr>
              <w:rPr>
                <w:rFonts w:ascii="Calibri" w:hAnsi="Calibri" w:cs="Calibri"/>
              </w:rPr>
            </w:pPr>
            <w:r w:rsidRPr="002053A6">
              <w:rPr>
                <w:rFonts w:ascii="Calibri" w:hAnsi="Calibri" w:cs="Calibri"/>
              </w:rPr>
              <w:lastRenderedPageBreak/>
              <w:t>3</w:t>
            </w:r>
          </w:p>
        </w:tc>
        <w:tc>
          <w:tcPr>
            <w:tcW w:w="6497" w:type="dxa"/>
          </w:tcPr>
          <w:p w14:paraId="293DBCBE"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Cs/>
              </w:rPr>
              <w:t>The revocation of 3,467 solid mineral licenses in Nigeria has several significant effects:</w:t>
            </w:r>
          </w:p>
          <w:p w14:paraId="407E9F2A" w14:textId="77777777" w:rsidR="00B9786C" w:rsidRPr="002053A6" w:rsidRDefault="00B9786C" w:rsidP="00B9786C">
            <w:pPr>
              <w:pStyle w:val="ListParagraph"/>
              <w:numPr>
                <w:ilvl w:val="0"/>
                <w:numId w:val="19"/>
              </w:numPr>
              <w:spacing w:after="240"/>
              <w:ind w:left="0" w:firstLine="0"/>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
                <w:bCs/>
              </w:rPr>
              <w:t>Increased Compliance and Transparency:</w:t>
            </w:r>
            <w:r w:rsidRPr="002053A6">
              <w:rPr>
                <w:rFonts w:ascii="Calibri" w:hAnsi="Calibri" w:cs="Calibri"/>
                <w:bCs/>
              </w:rPr>
              <w:t xml:space="preserve"> Enforces regulatory standards and improves sector transparency.</w:t>
            </w:r>
          </w:p>
          <w:p w14:paraId="54ACD570" w14:textId="77777777" w:rsidR="00B9786C" w:rsidRPr="002053A6" w:rsidRDefault="00B9786C" w:rsidP="00B9786C">
            <w:pPr>
              <w:pStyle w:val="ListParagraph"/>
              <w:numPr>
                <w:ilvl w:val="0"/>
                <w:numId w:val="19"/>
              </w:numPr>
              <w:spacing w:after="240"/>
              <w:ind w:left="130" w:firstLine="0"/>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
                <w:bCs/>
              </w:rPr>
              <w:t>Encouragement of Active Mining:</w:t>
            </w:r>
            <w:r w:rsidRPr="002053A6">
              <w:rPr>
                <w:rFonts w:ascii="Calibri" w:hAnsi="Calibri" w:cs="Calibri"/>
                <w:bCs/>
              </w:rPr>
              <w:t xml:space="preserve"> Promotes productive use of mineral resources and attracts serious investors.</w:t>
            </w:r>
          </w:p>
          <w:p w14:paraId="058518F6" w14:textId="77777777" w:rsidR="00B9786C" w:rsidRPr="002053A6" w:rsidRDefault="00B9786C" w:rsidP="00B9786C">
            <w:pPr>
              <w:pStyle w:val="ListParagraph"/>
              <w:numPr>
                <w:ilvl w:val="0"/>
                <w:numId w:val="19"/>
              </w:numPr>
              <w:spacing w:after="240"/>
              <w:ind w:left="130" w:firstLine="0"/>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
                <w:bCs/>
              </w:rPr>
              <w:t>Revenue Generation</w:t>
            </w:r>
            <w:r w:rsidRPr="002053A6">
              <w:rPr>
                <w:rFonts w:ascii="Calibri" w:hAnsi="Calibri" w:cs="Calibri"/>
                <w:bCs/>
              </w:rPr>
              <w:t>: Increases government revenue through fees, royalties, and taxes.</w:t>
            </w:r>
          </w:p>
          <w:p w14:paraId="5E1B3EBA" w14:textId="77777777" w:rsidR="00B9786C" w:rsidRPr="002053A6" w:rsidRDefault="00B9786C" w:rsidP="00B9786C">
            <w:pPr>
              <w:pStyle w:val="ListParagraph"/>
              <w:numPr>
                <w:ilvl w:val="0"/>
                <w:numId w:val="19"/>
              </w:numPr>
              <w:spacing w:after="240"/>
              <w:ind w:left="130" w:firstLine="0"/>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
                <w:bCs/>
              </w:rPr>
              <w:t>Market Opportunities:</w:t>
            </w:r>
            <w:r w:rsidRPr="002053A6">
              <w:rPr>
                <w:rFonts w:ascii="Calibri" w:hAnsi="Calibri" w:cs="Calibri"/>
                <w:bCs/>
              </w:rPr>
              <w:t xml:space="preserve"> Opens up the market for new entrants, fostering competition and innovation.</w:t>
            </w:r>
          </w:p>
          <w:p w14:paraId="56424999" w14:textId="77777777" w:rsidR="00B9786C" w:rsidRPr="002053A6" w:rsidRDefault="00B9786C" w:rsidP="00B9786C">
            <w:pPr>
              <w:pStyle w:val="ListParagraph"/>
              <w:numPr>
                <w:ilvl w:val="0"/>
                <w:numId w:val="19"/>
              </w:numPr>
              <w:spacing w:after="240"/>
              <w:ind w:left="130" w:firstLine="0"/>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
                <w:bCs/>
              </w:rPr>
              <w:t>Deterrence of Speculative Practices</w:t>
            </w:r>
            <w:r w:rsidRPr="002053A6">
              <w:rPr>
                <w:rFonts w:ascii="Calibri" w:hAnsi="Calibri" w:cs="Calibri"/>
                <w:bCs/>
              </w:rPr>
              <w:t>: Prevents companies from hoarding licenses without mining activities.</w:t>
            </w:r>
          </w:p>
          <w:p w14:paraId="480E5F3A" w14:textId="77777777" w:rsidR="00B9786C" w:rsidRPr="002053A6" w:rsidRDefault="00B9786C" w:rsidP="00B9786C">
            <w:pPr>
              <w:pStyle w:val="ListParagraph"/>
              <w:numPr>
                <w:ilvl w:val="0"/>
                <w:numId w:val="19"/>
              </w:numPr>
              <w:spacing w:after="240"/>
              <w:ind w:left="130" w:firstLine="0"/>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 xml:space="preserve">Potential Legal Challenges: </w:t>
            </w:r>
            <w:r w:rsidRPr="002053A6">
              <w:rPr>
                <w:rFonts w:ascii="Calibri" w:hAnsi="Calibri" w:cs="Calibri"/>
                <w:bCs/>
              </w:rPr>
              <w:t>May lead to disputes and litigation, causing temporary uncertainty.</w:t>
            </w:r>
          </w:p>
          <w:p w14:paraId="6A681C71" w14:textId="77777777" w:rsidR="00B9786C" w:rsidRPr="002053A6" w:rsidRDefault="00B9786C" w:rsidP="00B9786C">
            <w:pPr>
              <w:pStyle w:val="ListParagraph"/>
              <w:numPr>
                <w:ilvl w:val="0"/>
                <w:numId w:val="19"/>
              </w:numPr>
              <w:spacing w:after="240"/>
              <w:ind w:left="130" w:firstLine="0"/>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Impact on Local Communities</w:t>
            </w:r>
            <w:r w:rsidRPr="002053A6">
              <w:rPr>
                <w:rFonts w:ascii="Calibri" w:hAnsi="Calibri" w:cs="Calibri"/>
                <w:bCs/>
              </w:rPr>
              <w:t>: Can lead to more responsible mining practices but may cause temporary job losses.</w:t>
            </w:r>
          </w:p>
        </w:tc>
        <w:tc>
          <w:tcPr>
            <w:tcW w:w="7796" w:type="dxa"/>
          </w:tcPr>
          <w:p w14:paraId="37181C3A"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pPr>
            <w:r w:rsidRPr="002053A6">
              <w:t>To address the challenges of License Revocations information in Nigeria’s solid minerals sector, a multi-faceted approach is recommended:</w:t>
            </w:r>
          </w:p>
          <w:p w14:paraId="32FFBC9B" w14:textId="77777777" w:rsidR="00B9786C" w:rsidRPr="0000555A" w:rsidRDefault="00B9786C" w:rsidP="00B9786C">
            <w:pPr>
              <w:pStyle w:val="ListParagraph"/>
              <w:numPr>
                <w:ilvl w:val="0"/>
                <w:numId w:val="28"/>
              </w:numPr>
              <w:spacing w:after="160" w:line="259" w:lineRule="auto"/>
              <w:cnfStyle w:val="000000000000" w:firstRow="0" w:lastRow="0" w:firstColumn="0" w:lastColumn="0" w:oddVBand="0" w:evenVBand="0" w:oddHBand="0" w:evenHBand="0" w:firstRowFirstColumn="0" w:firstRowLastColumn="0" w:lastRowFirstColumn="0" w:lastRowLastColumn="0"/>
            </w:pPr>
            <w:r w:rsidRPr="0000555A">
              <w:rPr>
                <w:b/>
              </w:rPr>
              <w:t>Legal and Dispute Resolution Mechanisms:</w:t>
            </w:r>
            <w:r w:rsidRPr="0000555A">
              <w:t xml:space="preserve"> Establishing clear legal and dispute resolution mechanisms can help address any challenges or disputes arising from the revocations. This ensures that affected parties have a fair process to resolve their issues.</w:t>
            </w:r>
          </w:p>
          <w:p w14:paraId="17F3507E" w14:textId="77777777" w:rsidR="00B9786C" w:rsidRPr="0000555A" w:rsidRDefault="00B9786C" w:rsidP="00B9786C">
            <w:pPr>
              <w:pStyle w:val="ListParagraph"/>
              <w:numPr>
                <w:ilvl w:val="0"/>
                <w:numId w:val="28"/>
              </w:numPr>
              <w:spacing w:after="160" w:line="259" w:lineRule="auto"/>
              <w:cnfStyle w:val="000000000000" w:firstRow="0" w:lastRow="0" w:firstColumn="0" w:lastColumn="0" w:oddVBand="0" w:evenVBand="0" w:oddHBand="0" w:evenHBand="0" w:firstRowFirstColumn="0" w:firstRowLastColumn="0" w:lastRowFirstColumn="0" w:lastRowLastColumn="0"/>
            </w:pPr>
            <w:r w:rsidRPr="0000555A">
              <w:rPr>
                <w:b/>
              </w:rPr>
              <w:t>Incentives for Compliance:</w:t>
            </w:r>
            <w:r w:rsidRPr="0000555A">
              <w:t xml:space="preserve"> Offering incentives for compliance, such as tax breaks or grants for companies that adhere to regulations, can encourage better practices in the sector. This can also attract new, responsible investors.</w:t>
            </w:r>
          </w:p>
          <w:p w14:paraId="6C639E81" w14:textId="77777777" w:rsidR="00B9786C" w:rsidRPr="0000555A" w:rsidRDefault="00B9786C" w:rsidP="00B9786C">
            <w:pPr>
              <w:pStyle w:val="ListParagraph"/>
              <w:numPr>
                <w:ilvl w:val="0"/>
                <w:numId w:val="28"/>
              </w:numPr>
              <w:spacing w:after="160" w:line="259" w:lineRule="auto"/>
              <w:cnfStyle w:val="000000000000" w:firstRow="0" w:lastRow="0" w:firstColumn="0" w:lastColumn="0" w:oddVBand="0" w:evenVBand="0" w:oddHBand="0" w:evenHBand="0" w:firstRowFirstColumn="0" w:firstRowLastColumn="0" w:lastRowFirstColumn="0" w:lastRowLastColumn="0"/>
            </w:pPr>
            <w:r w:rsidRPr="0000555A">
              <w:rPr>
                <w:b/>
              </w:rPr>
              <w:t>Monitoring and Evaluation:</w:t>
            </w:r>
            <w:r w:rsidRPr="0000555A">
              <w:t xml:space="preserve"> Implementing robust monitoring and evaluation systems can help track the impact of license revocations and ensure that the intended benefits are realized. This can involve regular audits and assessments of the sector</w:t>
            </w:r>
          </w:p>
        </w:tc>
      </w:tr>
      <w:tr w:rsidR="00B9786C" w:rsidRPr="002053A6" w14:paraId="1C9083E0" w14:textId="77777777" w:rsidTr="002E7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471051F7" w14:textId="77777777" w:rsidR="00B9786C" w:rsidRPr="002053A6" w:rsidRDefault="00B9786C" w:rsidP="002E7B49">
            <w:pPr>
              <w:rPr>
                <w:rFonts w:ascii="Calibri" w:hAnsi="Calibri" w:cs="Calibri"/>
              </w:rPr>
            </w:pPr>
            <w:r w:rsidRPr="002053A6">
              <w:rPr>
                <w:rFonts w:ascii="Calibri" w:hAnsi="Calibri" w:cs="Calibri"/>
              </w:rPr>
              <w:t>4</w:t>
            </w:r>
          </w:p>
        </w:tc>
        <w:tc>
          <w:tcPr>
            <w:tcW w:w="6497" w:type="dxa"/>
          </w:tcPr>
          <w:p w14:paraId="5825439A"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b/>
                <w:bCs/>
              </w:rPr>
              <w:t xml:space="preserve">UNHARMONIZED MINERAL EXPORT RECORD BETWEEN NCS AND MSMD </w:t>
            </w:r>
          </w:p>
          <w:p w14:paraId="289F40BD"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Cs/>
              </w:rPr>
              <w:lastRenderedPageBreak/>
              <w:t xml:space="preserve">Records from the Nigerian Customs Service (NCS) and the MSMD reveals that the </w:t>
            </w:r>
            <w:proofErr w:type="spellStart"/>
            <w:r w:rsidRPr="002053A6">
              <w:rPr>
                <w:rFonts w:ascii="Calibri" w:hAnsi="Calibri" w:cs="Calibri"/>
                <w:bCs/>
              </w:rPr>
              <w:t>col</w:t>
            </w:r>
            <w:r>
              <w:rPr>
                <w:rFonts w:ascii="Calibri" w:hAnsi="Calibri" w:cs="Calibri"/>
                <w:bCs/>
              </w:rPr>
              <w:t>Labour</w:t>
            </w:r>
            <w:r w:rsidRPr="002053A6">
              <w:rPr>
                <w:rFonts w:ascii="Calibri" w:hAnsi="Calibri" w:cs="Calibri"/>
                <w:bCs/>
              </w:rPr>
              <w:t>ation</w:t>
            </w:r>
            <w:proofErr w:type="spellEnd"/>
            <w:r w:rsidRPr="002053A6">
              <w:rPr>
                <w:rFonts w:ascii="Calibri" w:hAnsi="Calibri" w:cs="Calibri"/>
                <w:bCs/>
              </w:rPr>
              <w:t xml:space="preserve"> between both agencies is weak as their reported figures differ significantly. The wide margin between these records underscores the lack of </w:t>
            </w:r>
            <w:proofErr w:type="spellStart"/>
            <w:r w:rsidRPr="002053A6">
              <w:rPr>
                <w:rFonts w:ascii="Calibri" w:hAnsi="Calibri" w:cs="Calibri"/>
                <w:bCs/>
              </w:rPr>
              <w:t>col</w:t>
            </w:r>
            <w:r>
              <w:rPr>
                <w:rFonts w:ascii="Calibri" w:hAnsi="Calibri" w:cs="Calibri"/>
                <w:bCs/>
              </w:rPr>
              <w:t>Labour</w:t>
            </w:r>
            <w:r w:rsidRPr="002053A6">
              <w:rPr>
                <w:rFonts w:ascii="Calibri" w:hAnsi="Calibri" w:cs="Calibri"/>
                <w:bCs/>
              </w:rPr>
              <w:t>ation</w:t>
            </w:r>
            <w:proofErr w:type="spellEnd"/>
            <w:r w:rsidRPr="002053A6">
              <w:rPr>
                <w:rFonts w:ascii="Calibri" w:hAnsi="Calibri" w:cs="Calibri"/>
                <w:bCs/>
              </w:rPr>
              <w:t xml:space="preserve"> and coordination between the two agencies, leading to discrepancies in export data.</w:t>
            </w:r>
          </w:p>
          <w:p w14:paraId="00836BAE"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 xml:space="preserve">1. Revenue Loss for the Government: </w:t>
            </w:r>
          </w:p>
          <w:p w14:paraId="4CC69D98"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The lack of coordination between the NCS and MMSD could result in companies exporting minerals without paying the appropriate royalties and fees, leading to significant revenue losses for the government.</w:t>
            </w:r>
          </w:p>
          <w:p w14:paraId="7A98B093"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The disconnect between the agencies may create regulatory gaps, allowing some companies to bypass proper licensing and export procedures. This could lead to an increase in under declaration of exports, under payment of taxes thereby undermining sector’s transparency and compliance.</w:t>
            </w:r>
          </w:p>
          <w:p w14:paraId="4EBAF355"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rPr>
              <w:t>The export data from the Nigerian Customs Service (NCS) includes minerals that were not reflected in the production data supplied by the Ministry</w:t>
            </w:r>
          </w:p>
        </w:tc>
        <w:tc>
          <w:tcPr>
            <w:tcW w:w="7796" w:type="dxa"/>
          </w:tcPr>
          <w:p w14:paraId="7515EE80" w14:textId="77777777" w:rsidR="00B9786C" w:rsidRPr="002053A6" w:rsidRDefault="00B9786C" w:rsidP="00B9786C">
            <w:pPr>
              <w:pStyle w:val="ListParagraph"/>
              <w:numPr>
                <w:ilvl w:val="0"/>
                <w:numId w:val="15"/>
              </w:numPr>
              <w:spacing w:after="240"/>
              <w:ind w:left="175" w:hanging="120"/>
              <w:cnfStyle w:val="000000100000" w:firstRow="0" w:lastRow="0" w:firstColumn="0" w:lastColumn="0" w:oddVBand="0" w:evenVBand="0" w:oddHBand="1" w:evenHBand="0" w:firstRowFirstColumn="0" w:firstRowLastColumn="0" w:lastRowFirstColumn="0" w:lastRowLastColumn="0"/>
              <w:rPr>
                <w:rFonts w:ascii="Calibri" w:hAnsi="Calibri" w:cs="Calibri"/>
              </w:rPr>
            </w:pPr>
            <w:proofErr w:type="spellStart"/>
            <w:r w:rsidRPr="002053A6">
              <w:rPr>
                <w:rFonts w:ascii="Calibri" w:hAnsi="Calibri" w:cs="Calibri"/>
              </w:rPr>
              <w:lastRenderedPageBreak/>
              <w:t>Col</w:t>
            </w:r>
            <w:r>
              <w:rPr>
                <w:rFonts w:ascii="Calibri" w:hAnsi="Calibri" w:cs="Calibri"/>
              </w:rPr>
              <w:t>Labour</w:t>
            </w:r>
            <w:r w:rsidRPr="002053A6">
              <w:rPr>
                <w:rFonts w:ascii="Calibri" w:hAnsi="Calibri" w:cs="Calibri"/>
              </w:rPr>
              <w:t>ation</w:t>
            </w:r>
            <w:proofErr w:type="spellEnd"/>
            <w:r w:rsidRPr="002053A6">
              <w:rPr>
                <w:rFonts w:ascii="Calibri" w:hAnsi="Calibri" w:cs="Calibri"/>
              </w:rPr>
              <w:t xml:space="preserve"> between NCS and MSMD should be strengthened. MSMD should have a dedicated desk officer at the NCS office to ensure the </w:t>
            </w:r>
            <w:r w:rsidRPr="002053A6">
              <w:rPr>
                <w:rFonts w:ascii="Calibri" w:hAnsi="Calibri" w:cs="Calibri"/>
              </w:rPr>
              <w:lastRenderedPageBreak/>
              <w:t>communication channel is not broken while MSMD staff should be present at all export points to verify and determine the types, volume and value of minerals being exported. This will assist in closing the data gap between the two organizations. Thus, ultimately improving revenue generation from the sector.</w:t>
            </w:r>
          </w:p>
          <w:p w14:paraId="656B908B" w14:textId="77777777" w:rsidR="00B9786C" w:rsidRPr="002053A6" w:rsidRDefault="00B9786C" w:rsidP="00B9786C">
            <w:pPr>
              <w:pStyle w:val="ListParagraph"/>
              <w:numPr>
                <w:ilvl w:val="0"/>
                <w:numId w:val="15"/>
              </w:numPr>
              <w:spacing w:after="240"/>
              <w:ind w:left="175" w:hanging="120"/>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rPr>
              <w:t>There should be training for NCS personnel in mineral identification and also, the organization should employ experts in geosciences.</w:t>
            </w:r>
          </w:p>
          <w:p w14:paraId="6A952200" w14:textId="77777777" w:rsidR="00B9786C" w:rsidRPr="002053A6" w:rsidRDefault="00B9786C" w:rsidP="002E7B49">
            <w:pPr>
              <w:ind w:left="-4"/>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76463D5A"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7FACA059"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r>
      <w:tr w:rsidR="00B9786C" w:rsidRPr="002053A6" w14:paraId="27D92A1D" w14:textId="77777777" w:rsidTr="002E7B49">
        <w:tc>
          <w:tcPr>
            <w:cnfStyle w:val="001000000000" w:firstRow="0" w:lastRow="0" w:firstColumn="1" w:lastColumn="0" w:oddVBand="0" w:evenVBand="0" w:oddHBand="0" w:evenHBand="0" w:firstRowFirstColumn="0" w:firstRowLastColumn="0" w:lastRowFirstColumn="0" w:lastRowLastColumn="0"/>
            <w:tcW w:w="591" w:type="dxa"/>
            <w:vAlign w:val="center"/>
          </w:tcPr>
          <w:p w14:paraId="6F1FE07E" w14:textId="77777777" w:rsidR="00B9786C" w:rsidRPr="002053A6" w:rsidRDefault="00B9786C" w:rsidP="002E7B49">
            <w:pPr>
              <w:rPr>
                <w:rFonts w:ascii="Calibri" w:hAnsi="Calibri" w:cs="Calibri"/>
              </w:rPr>
            </w:pPr>
            <w:r w:rsidRPr="002053A6">
              <w:rPr>
                <w:rFonts w:ascii="Calibri" w:hAnsi="Calibri" w:cs="Calibri"/>
              </w:rPr>
              <w:lastRenderedPageBreak/>
              <w:t>5</w:t>
            </w:r>
          </w:p>
        </w:tc>
        <w:tc>
          <w:tcPr>
            <w:tcW w:w="6497" w:type="dxa"/>
          </w:tcPr>
          <w:p w14:paraId="34F443DA"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rPr>
            </w:pPr>
            <w:r w:rsidRPr="002053A6">
              <w:rPr>
                <w:rFonts w:ascii="Calibri" w:hAnsi="Calibri" w:cs="Calibri"/>
                <w:b/>
              </w:rPr>
              <w:t>INSECURITY ACROSS MINING SITES AND COUNTRY AT LARGE</w:t>
            </w:r>
          </w:p>
          <w:p w14:paraId="19DBC243"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rPr>
              <w:t xml:space="preserve">According to NGSA’s data, there is an estimated large deposit of one of the strategic minerals (gold), </w:t>
            </w:r>
          </w:p>
          <w:p w14:paraId="1EB8436F"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rPr>
              <w:t xml:space="preserve">The country has witnessed worsening insecurity and threats from multiple armed groups, especially in the Northern part of the country. Where large deposits of gold which happens to be one of the seven strategic minerals in Nigeria is found.  </w:t>
            </w:r>
          </w:p>
          <w:p w14:paraId="1DFFAA8E"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rPr>
              <w:t>The worsened insecurity in the country has hindered mining activities and operations in some mining sites of the country which has resulted in lower activities and production, reducing potential revenue to be generated by the industry.</w:t>
            </w:r>
          </w:p>
        </w:tc>
        <w:tc>
          <w:tcPr>
            <w:tcW w:w="7796" w:type="dxa"/>
          </w:tcPr>
          <w:p w14:paraId="743ECA05"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rPr>
              <w:t>The Government at all levels (Federal, State and Local) should work towards improving the security of lives and properties across the country as this will also encourage the resumption of mining activities in some areas affected by insecurity.</w:t>
            </w:r>
          </w:p>
        </w:tc>
      </w:tr>
      <w:tr w:rsidR="00B9786C" w:rsidRPr="002053A6" w14:paraId="7CC78B49" w14:textId="77777777" w:rsidTr="002E7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51315D98" w14:textId="77777777" w:rsidR="00B9786C" w:rsidRPr="002053A6" w:rsidRDefault="00B9786C" w:rsidP="002E7B49">
            <w:pPr>
              <w:rPr>
                <w:rFonts w:ascii="Calibri" w:hAnsi="Calibri" w:cs="Calibri"/>
              </w:rPr>
            </w:pPr>
            <w:r w:rsidRPr="002053A6">
              <w:rPr>
                <w:rFonts w:ascii="Calibri" w:hAnsi="Calibri" w:cs="Calibri"/>
              </w:rPr>
              <w:lastRenderedPageBreak/>
              <w:t>6</w:t>
            </w:r>
          </w:p>
        </w:tc>
        <w:tc>
          <w:tcPr>
            <w:tcW w:w="6497" w:type="dxa"/>
          </w:tcPr>
          <w:p w14:paraId="6DE07FDC"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b/>
                <w:bCs/>
              </w:rPr>
              <w:t>Multiple Taxation and overlapping Tax Jurisdiction on companies from both Federal, State, Local Government and Other unsanctioned authorities.</w:t>
            </w:r>
          </w:p>
          <w:p w14:paraId="58960D7C"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Cs/>
              </w:rPr>
              <w:t>Mining companies in Nigeria face both legally mandated taxes and unsanctioned levies, leading to several challenges:</w:t>
            </w:r>
          </w:p>
          <w:p w14:paraId="0F9043EA" w14:textId="77777777" w:rsidR="00B9786C" w:rsidRPr="002053A6" w:rsidRDefault="00B9786C" w:rsidP="00B9786C">
            <w:pPr>
              <w:pStyle w:val="ListParagraph"/>
              <w:numPr>
                <w:ilvl w:val="0"/>
                <w:numId w:val="20"/>
              </w:numPr>
              <w:spacing w:after="240"/>
              <w:ind w:left="130" w:firstLine="0"/>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Increased Operational Costs:</w:t>
            </w:r>
            <w:r w:rsidRPr="002053A6">
              <w:rPr>
                <w:rFonts w:ascii="Calibri" w:hAnsi="Calibri" w:cs="Calibri"/>
                <w:bCs/>
              </w:rPr>
              <w:t xml:space="preserve"> High taxes and unsanctioned levies increase financial burdens and reduce profitability, deterring investment.</w:t>
            </w:r>
          </w:p>
          <w:p w14:paraId="2C8A10C5" w14:textId="77777777" w:rsidR="00B9786C" w:rsidRPr="002053A6" w:rsidRDefault="00B9786C" w:rsidP="00B9786C">
            <w:pPr>
              <w:pStyle w:val="ListParagraph"/>
              <w:numPr>
                <w:ilvl w:val="0"/>
                <w:numId w:val="20"/>
              </w:numPr>
              <w:spacing w:after="240"/>
              <w:ind w:left="130" w:firstLine="0"/>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Administrative Complexity:</w:t>
            </w:r>
            <w:r w:rsidRPr="002053A6">
              <w:rPr>
                <w:rFonts w:ascii="Calibri" w:hAnsi="Calibri" w:cs="Calibri"/>
                <w:bCs/>
              </w:rPr>
              <w:t xml:space="preserve"> Navigating complex tax regulations requires significant resources, leading to higher administrative costs and potential legal issues.</w:t>
            </w:r>
          </w:p>
          <w:p w14:paraId="47B22836" w14:textId="77777777" w:rsidR="00B9786C" w:rsidRPr="002053A6" w:rsidRDefault="00B9786C" w:rsidP="00B9786C">
            <w:pPr>
              <w:pStyle w:val="ListParagraph"/>
              <w:numPr>
                <w:ilvl w:val="0"/>
                <w:numId w:val="20"/>
              </w:numPr>
              <w:spacing w:after="240"/>
              <w:ind w:left="130" w:firstLine="0"/>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Reduced Competitiveness:</w:t>
            </w:r>
            <w:r w:rsidRPr="002053A6">
              <w:rPr>
                <w:rFonts w:ascii="Calibri" w:hAnsi="Calibri" w:cs="Calibri"/>
                <w:bCs/>
              </w:rPr>
              <w:t xml:space="preserve"> High production costs make Nigerian mineral products less competitive globally, and companies may lose market share.</w:t>
            </w:r>
          </w:p>
          <w:p w14:paraId="18BD86DF" w14:textId="77777777" w:rsidR="00B9786C" w:rsidRPr="002053A6" w:rsidRDefault="00B9786C" w:rsidP="00B9786C">
            <w:pPr>
              <w:pStyle w:val="ListParagraph"/>
              <w:numPr>
                <w:ilvl w:val="0"/>
                <w:numId w:val="20"/>
              </w:numPr>
              <w:spacing w:after="240"/>
              <w:ind w:left="130" w:firstLine="0"/>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Encouragement of Informal Activities:</w:t>
            </w:r>
            <w:r w:rsidRPr="002053A6">
              <w:rPr>
                <w:rFonts w:ascii="Calibri" w:hAnsi="Calibri" w:cs="Calibri"/>
                <w:bCs/>
              </w:rPr>
              <w:t xml:space="preserve"> Excessive taxation can drive illegal mining and tax evasion, leading to revenue losses and environmental damage.</w:t>
            </w:r>
          </w:p>
          <w:p w14:paraId="39EBD807" w14:textId="77777777" w:rsidR="00B9786C" w:rsidRPr="002053A6" w:rsidRDefault="00B9786C" w:rsidP="00B9786C">
            <w:pPr>
              <w:pStyle w:val="ListParagraph"/>
              <w:numPr>
                <w:ilvl w:val="0"/>
                <w:numId w:val="20"/>
              </w:numPr>
              <w:spacing w:after="240"/>
              <w:ind w:left="130" w:firstLine="0"/>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
                <w:bCs/>
              </w:rPr>
              <w:t>Adverse Impact on Local Communities:</w:t>
            </w:r>
            <w:r w:rsidRPr="002053A6">
              <w:rPr>
                <w:rFonts w:ascii="Calibri" w:hAnsi="Calibri" w:cs="Calibri"/>
                <w:bCs/>
              </w:rPr>
              <w:t xml:space="preserve"> Higher operational costs reduce companies’ ability to invest in community projects, potentially causing social unrest.</w:t>
            </w:r>
          </w:p>
        </w:tc>
        <w:tc>
          <w:tcPr>
            <w:tcW w:w="7796" w:type="dxa"/>
          </w:tcPr>
          <w:p w14:paraId="27CB552B"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pPr>
            <w:r w:rsidRPr="002053A6">
              <w:t>The Taxation problems can be addressed by:</w:t>
            </w:r>
          </w:p>
          <w:p w14:paraId="3E8F172E"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b/>
              </w:rPr>
            </w:pPr>
            <w:r w:rsidRPr="002053A6">
              <w:rPr>
                <w:b/>
              </w:rPr>
              <w:t>Harmonization of Tax Policies:</w:t>
            </w:r>
          </w:p>
          <w:p w14:paraId="12792145" w14:textId="77777777" w:rsidR="00B9786C" w:rsidRPr="002053A6" w:rsidRDefault="00B9786C" w:rsidP="00B9786C">
            <w:pPr>
              <w:pStyle w:val="ListParagraph"/>
              <w:numPr>
                <w:ilvl w:val="0"/>
                <w:numId w:val="21"/>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Develop a unified tax framework to eliminate overlapping jurisdictions and reduce the tax burden.</w:t>
            </w:r>
          </w:p>
          <w:p w14:paraId="4BFE1A93" w14:textId="77777777" w:rsidR="00B9786C" w:rsidRPr="002053A6" w:rsidRDefault="00B9786C" w:rsidP="00B9786C">
            <w:pPr>
              <w:pStyle w:val="ListParagraph"/>
              <w:numPr>
                <w:ilvl w:val="0"/>
                <w:numId w:val="21"/>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Simplify tax codes to avoid multiple taxes on the same income.</w:t>
            </w:r>
          </w:p>
          <w:p w14:paraId="6E4E5051"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b/>
              </w:rPr>
            </w:pPr>
            <w:r w:rsidRPr="002053A6">
              <w:rPr>
                <w:b/>
              </w:rPr>
              <w:t>Strengthening Regulatory Oversight:</w:t>
            </w:r>
          </w:p>
          <w:p w14:paraId="4D6C283D" w14:textId="77777777" w:rsidR="00B9786C" w:rsidRPr="002053A6" w:rsidRDefault="00B9786C" w:rsidP="00B9786C">
            <w:pPr>
              <w:pStyle w:val="ListParagraph"/>
              <w:numPr>
                <w:ilvl w:val="0"/>
                <w:numId w:val="22"/>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Implement anti-corruption measures and ensure transparency in tax collection.</w:t>
            </w:r>
          </w:p>
          <w:p w14:paraId="49508CE4" w14:textId="77777777" w:rsidR="00B9786C" w:rsidRPr="002053A6" w:rsidRDefault="00B9786C" w:rsidP="00B9786C">
            <w:pPr>
              <w:pStyle w:val="ListParagraph"/>
              <w:numPr>
                <w:ilvl w:val="0"/>
                <w:numId w:val="22"/>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Conduct regular independent audits of tax authorities.</w:t>
            </w:r>
          </w:p>
          <w:p w14:paraId="3239F3C6"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b/>
              </w:rPr>
            </w:pPr>
            <w:r w:rsidRPr="002053A6">
              <w:rPr>
                <w:b/>
              </w:rPr>
              <w:t>Capacity Building and Training:</w:t>
            </w:r>
          </w:p>
          <w:p w14:paraId="7449D0D0" w14:textId="77777777" w:rsidR="00B9786C" w:rsidRPr="002053A6" w:rsidRDefault="00B9786C" w:rsidP="00B9786C">
            <w:pPr>
              <w:pStyle w:val="ListParagraph"/>
              <w:numPr>
                <w:ilvl w:val="0"/>
                <w:numId w:val="23"/>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Train tax officials to correctly apply tax laws.</w:t>
            </w:r>
          </w:p>
          <w:p w14:paraId="4EDCAC41" w14:textId="77777777" w:rsidR="00B9786C" w:rsidRPr="002053A6" w:rsidRDefault="00B9786C" w:rsidP="00B9786C">
            <w:pPr>
              <w:pStyle w:val="ListParagraph"/>
              <w:numPr>
                <w:ilvl w:val="0"/>
                <w:numId w:val="23"/>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Provide support to companies for navigating the tax landscape.</w:t>
            </w:r>
          </w:p>
          <w:p w14:paraId="02C91AA6"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b/>
              </w:rPr>
            </w:pPr>
            <w:r w:rsidRPr="002053A6">
              <w:rPr>
                <w:b/>
              </w:rPr>
              <w:t>Stakeholder Engagement:</w:t>
            </w:r>
          </w:p>
          <w:p w14:paraId="78100E65" w14:textId="77777777" w:rsidR="00B9786C" w:rsidRPr="002053A6" w:rsidRDefault="00B9786C" w:rsidP="00B9786C">
            <w:pPr>
              <w:pStyle w:val="ListParagraph"/>
              <w:numPr>
                <w:ilvl w:val="0"/>
                <w:numId w:val="24"/>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Establish regular dialogue between government authorities and industry stakeholders.</w:t>
            </w:r>
          </w:p>
          <w:p w14:paraId="1B052C76" w14:textId="77777777" w:rsidR="00B9786C" w:rsidRPr="002053A6" w:rsidRDefault="00B9786C" w:rsidP="00B9786C">
            <w:pPr>
              <w:pStyle w:val="ListParagraph"/>
              <w:numPr>
                <w:ilvl w:val="0"/>
                <w:numId w:val="24"/>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Conduct public awareness campaigns about tax rights and responsibilities.</w:t>
            </w:r>
          </w:p>
          <w:p w14:paraId="30876756"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b/>
              </w:rPr>
            </w:pPr>
            <w:r w:rsidRPr="002053A6">
              <w:rPr>
                <w:b/>
              </w:rPr>
              <w:t>Leveraging Technology and Innovation:</w:t>
            </w:r>
          </w:p>
          <w:p w14:paraId="5594181F" w14:textId="77777777" w:rsidR="00B9786C" w:rsidRPr="002053A6" w:rsidRDefault="00B9786C" w:rsidP="00B9786C">
            <w:pPr>
              <w:pStyle w:val="ListParagraph"/>
              <w:numPr>
                <w:ilvl w:val="0"/>
                <w:numId w:val="25"/>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Implement digital tax systems to streamline collection and reduce corruption.</w:t>
            </w:r>
          </w:p>
          <w:p w14:paraId="2D6E3AD9" w14:textId="77777777" w:rsidR="00B9786C" w:rsidRPr="002053A6" w:rsidRDefault="00B9786C" w:rsidP="00B9786C">
            <w:pPr>
              <w:pStyle w:val="ListParagraph"/>
              <w:numPr>
                <w:ilvl w:val="0"/>
                <w:numId w:val="25"/>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Use blockchain for secure and transparent recording of transactions.</w:t>
            </w:r>
          </w:p>
          <w:p w14:paraId="78D46BA6"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b/>
              </w:rPr>
            </w:pPr>
            <w:r w:rsidRPr="002053A6">
              <w:rPr>
                <w:b/>
              </w:rPr>
              <w:t xml:space="preserve">Improving Coordination and </w:t>
            </w:r>
            <w:proofErr w:type="spellStart"/>
            <w:r w:rsidRPr="002053A6">
              <w:rPr>
                <w:b/>
              </w:rPr>
              <w:t>Col</w:t>
            </w:r>
            <w:r>
              <w:rPr>
                <w:b/>
              </w:rPr>
              <w:t>Labour</w:t>
            </w:r>
            <w:r w:rsidRPr="002053A6">
              <w:rPr>
                <w:b/>
              </w:rPr>
              <w:t>ation</w:t>
            </w:r>
            <w:proofErr w:type="spellEnd"/>
            <w:r w:rsidRPr="002053A6">
              <w:rPr>
                <w:b/>
              </w:rPr>
              <w:t>:</w:t>
            </w:r>
          </w:p>
          <w:p w14:paraId="0832B0D3" w14:textId="77777777" w:rsidR="00B9786C" w:rsidRPr="002053A6" w:rsidRDefault="00B9786C" w:rsidP="00B9786C">
            <w:pPr>
              <w:pStyle w:val="ListParagraph"/>
              <w:numPr>
                <w:ilvl w:val="0"/>
                <w:numId w:val="26"/>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 xml:space="preserve">Foster inter-agency </w:t>
            </w:r>
            <w:proofErr w:type="spellStart"/>
            <w:r w:rsidRPr="002053A6">
              <w:t>col</w:t>
            </w:r>
            <w:r>
              <w:t>Labour</w:t>
            </w:r>
            <w:r w:rsidRPr="002053A6">
              <w:t>ation</w:t>
            </w:r>
            <w:proofErr w:type="spellEnd"/>
            <w:r w:rsidRPr="002053A6">
              <w:t xml:space="preserve"> for unified revenue tracking.</w:t>
            </w:r>
          </w:p>
          <w:p w14:paraId="1BB64953" w14:textId="77777777" w:rsidR="00B9786C" w:rsidRPr="002053A6" w:rsidRDefault="00B9786C" w:rsidP="00B9786C">
            <w:pPr>
              <w:pStyle w:val="ListParagraph"/>
              <w:numPr>
                <w:ilvl w:val="0"/>
                <w:numId w:val="26"/>
              </w:numPr>
              <w:spacing w:after="160" w:line="259" w:lineRule="auto"/>
              <w:cnfStyle w:val="000000100000" w:firstRow="0" w:lastRow="0" w:firstColumn="0" w:lastColumn="0" w:oddVBand="0" w:evenVBand="0" w:oddHBand="1" w:evenHBand="0" w:firstRowFirstColumn="0" w:firstRowLastColumn="0" w:lastRowFirstColumn="0" w:lastRowLastColumn="0"/>
            </w:pPr>
            <w:r w:rsidRPr="002053A6">
              <w:t>Align with international standards like EITI for best practices in transparency and accountability.</w:t>
            </w:r>
          </w:p>
          <w:p w14:paraId="3B27B13F"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b/>
              </w:rPr>
              <w:t>International Standards:</w:t>
            </w:r>
            <w:r w:rsidRPr="002053A6">
              <w:rPr>
                <w:rFonts w:ascii="Calibri" w:hAnsi="Calibri" w:cs="Calibri"/>
              </w:rPr>
              <w:t xml:space="preserve"> Align with international standards and frameworks, such as the Extractive Industries Transparency Initiative (EITI), to ensure best practices in transparency and accountability</w:t>
            </w:r>
          </w:p>
        </w:tc>
      </w:tr>
      <w:tr w:rsidR="00B9786C" w:rsidRPr="002053A6" w14:paraId="4A31C706" w14:textId="77777777" w:rsidTr="002E7B49">
        <w:tc>
          <w:tcPr>
            <w:cnfStyle w:val="001000000000" w:firstRow="0" w:lastRow="0" w:firstColumn="1" w:lastColumn="0" w:oddVBand="0" w:evenVBand="0" w:oddHBand="0" w:evenHBand="0" w:firstRowFirstColumn="0" w:firstRowLastColumn="0" w:lastRowFirstColumn="0" w:lastRowLastColumn="0"/>
            <w:tcW w:w="591" w:type="dxa"/>
            <w:vAlign w:val="center"/>
          </w:tcPr>
          <w:p w14:paraId="0E3761B7" w14:textId="77777777" w:rsidR="00B9786C" w:rsidRPr="002053A6" w:rsidRDefault="00B9786C" w:rsidP="002E7B49">
            <w:pPr>
              <w:rPr>
                <w:rFonts w:ascii="Calibri" w:hAnsi="Calibri" w:cs="Calibri"/>
              </w:rPr>
            </w:pPr>
            <w:r w:rsidRPr="002053A6">
              <w:rPr>
                <w:rFonts w:ascii="Calibri" w:hAnsi="Calibri" w:cs="Calibri"/>
              </w:rPr>
              <w:lastRenderedPageBreak/>
              <w:t>7</w:t>
            </w:r>
          </w:p>
        </w:tc>
        <w:tc>
          <w:tcPr>
            <w:tcW w:w="6497" w:type="dxa"/>
          </w:tcPr>
          <w:p w14:paraId="7DAC560F"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ANNUAL SERVICE FEE</w:t>
            </w:r>
          </w:p>
          <w:p w14:paraId="576E8093" w14:textId="77777777" w:rsidR="00B9786C" w:rsidRPr="002053A6" w:rsidRDefault="00B9786C" w:rsidP="00B9786C">
            <w:pPr>
              <w:pStyle w:val="ListParagraph"/>
              <w:numPr>
                <w:ilvl w:val="2"/>
                <w:numId w:val="1"/>
              </w:numPr>
              <w:spacing w:after="240"/>
              <w:ind w:left="193" w:hanging="142"/>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 xml:space="preserve">The amount of </w:t>
            </w:r>
            <w:r w:rsidRPr="002053A6">
              <w:rPr>
                <w:rFonts w:ascii="Calibri" w:hAnsi="Calibri" w:cs="Calibri"/>
                <w:b/>
                <w:bCs/>
                <w:dstrike/>
              </w:rPr>
              <w:t>N</w:t>
            </w:r>
            <w:r w:rsidRPr="002053A6">
              <w:rPr>
                <w:rFonts w:ascii="Calibri" w:hAnsi="Calibri" w:cs="Calibri"/>
                <w:b/>
                <w:bCs/>
              </w:rPr>
              <w:t>3,212,202,500 being owed to MCO by companies as a result of non-payment of ASF</w:t>
            </w:r>
          </w:p>
          <w:p w14:paraId="45475C72"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b/>
              </w:rPr>
            </w:pPr>
            <w:r w:rsidRPr="002053A6">
              <w:rPr>
                <w:b/>
              </w:rPr>
              <w:t>Reduced Investment:</w:t>
            </w:r>
            <w:r w:rsidRPr="002053A6">
              <w:t xml:space="preserve"> Widespread non-compliance can create a negative perception of the sector, reducing overall investment and growth.</w:t>
            </w:r>
          </w:p>
          <w:p w14:paraId="5DB26178"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pPr>
            <w:r w:rsidRPr="002053A6">
              <w:rPr>
                <w:b/>
              </w:rPr>
              <w:t>Regulatory Strain:</w:t>
            </w:r>
            <w:r w:rsidRPr="002053A6">
              <w:t xml:space="preserve"> Increased non-compliance puts additional strain on regulatory bodies, diverting resources from other critical functions.</w:t>
            </w:r>
          </w:p>
          <w:p w14:paraId="1F52338E" w14:textId="77777777" w:rsidR="00B9786C" w:rsidRPr="002053A6" w:rsidRDefault="00B9786C" w:rsidP="00B9786C">
            <w:pPr>
              <w:pStyle w:val="ListParagraph"/>
              <w:numPr>
                <w:ilvl w:val="2"/>
                <w:numId w:val="1"/>
              </w:numPr>
              <w:spacing w:after="240"/>
              <w:ind w:left="193" w:hanging="200"/>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Inability to tie some payments to companies</w:t>
            </w:r>
          </w:p>
          <w:p w14:paraId="2F9084D6" w14:textId="77777777" w:rsidR="00B9786C" w:rsidRPr="002053A6" w:rsidRDefault="00B9786C" w:rsidP="002E7B49">
            <w:pPr>
              <w:ind w:left="-7"/>
              <w:cnfStyle w:val="000000000000" w:firstRow="0" w:lastRow="0" w:firstColumn="0" w:lastColumn="0" w:oddVBand="0" w:evenVBand="0" w:oddHBand="0" w:evenHBand="0" w:firstRowFirstColumn="0" w:firstRowLastColumn="0" w:lastRowFirstColumn="0" w:lastRowLastColumn="0"/>
              <w:rPr>
                <w:rFonts w:ascii="Calibri" w:hAnsi="Calibri" w:cs="Calibri"/>
                <w:bCs/>
              </w:rPr>
            </w:pPr>
            <w:r w:rsidRPr="002053A6">
              <w:rPr>
                <w:rFonts w:ascii="Calibri" w:hAnsi="Calibri" w:cs="Calibri"/>
                <w:bCs/>
              </w:rPr>
              <w:t xml:space="preserve">The Annual Service Fee (ASF) records from the MCO </w:t>
            </w:r>
            <w:proofErr w:type="gramStart"/>
            <w:r w:rsidRPr="002053A6">
              <w:rPr>
                <w:rFonts w:ascii="Calibri" w:hAnsi="Calibri" w:cs="Calibri"/>
                <w:bCs/>
              </w:rPr>
              <w:t>has</w:t>
            </w:r>
            <w:proofErr w:type="gramEnd"/>
            <w:r w:rsidRPr="002053A6">
              <w:rPr>
                <w:rFonts w:ascii="Calibri" w:hAnsi="Calibri" w:cs="Calibri"/>
                <w:bCs/>
              </w:rPr>
              <w:t xml:space="preserve"> 4,036 entries, among which 475 entries are names of individuals which was not attributed to any company or group. These will result to difficulty in reconciling ASF liabilities by MCO. As a result, they were unilaterally disclosed.</w:t>
            </w:r>
          </w:p>
          <w:p w14:paraId="5644CCB3"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Cs/>
              </w:rPr>
            </w:pPr>
          </w:p>
          <w:p w14:paraId="286DC965"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Cs/>
              </w:rPr>
            </w:pPr>
          </w:p>
          <w:p w14:paraId="16D3DD6B"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7796" w:type="dxa"/>
          </w:tcPr>
          <w:p w14:paraId="58E20E69"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pPr>
            <w:r w:rsidRPr="002053A6">
              <w:rPr>
                <w:b/>
              </w:rPr>
              <w:t>Regular Audits:</w:t>
            </w:r>
            <w:r w:rsidRPr="002053A6">
              <w:t xml:space="preserve"> Conduct regular audits to ensure compliance and identify non-payment issues early.</w:t>
            </w:r>
          </w:p>
          <w:p w14:paraId="734FC95A"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pPr>
            <w:r w:rsidRPr="002053A6">
              <w:rPr>
                <w:b/>
              </w:rPr>
              <w:t>Enhanced Penalties:</w:t>
            </w:r>
            <w:r w:rsidRPr="002053A6">
              <w:t xml:space="preserve"> Implement stricter penalties for non-compliance to deter companies from defaulting on their liabilities.</w:t>
            </w:r>
          </w:p>
          <w:p w14:paraId="56EC8186"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Cs/>
              </w:rPr>
              <w:t>MCO should ensure proper data collection mechanism by recording payments stating the full details of the company or groups making payment by officers issuing receipt.</w:t>
            </w:r>
          </w:p>
        </w:tc>
      </w:tr>
      <w:tr w:rsidR="00B9786C" w:rsidRPr="002053A6" w14:paraId="54B3C327" w14:textId="77777777" w:rsidTr="002E7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72AD06BF" w14:textId="77777777" w:rsidR="00B9786C" w:rsidRPr="002053A6" w:rsidRDefault="00B9786C" w:rsidP="002E7B49">
            <w:pPr>
              <w:rPr>
                <w:rFonts w:ascii="Calibri" w:hAnsi="Calibri" w:cs="Calibri"/>
              </w:rPr>
            </w:pPr>
            <w:r w:rsidRPr="002053A6">
              <w:rPr>
                <w:rFonts w:ascii="Calibri" w:hAnsi="Calibri" w:cs="Calibri"/>
              </w:rPr>
              <w:t>8</w:t>
            </w:r>
          </w:p>
        </w:tc>
        <w:tc>
          <w:tcPr>
            <w:tcW w:w="6497" w:type="dxa"/>
          </w:tcPr>
          <w:p w14:paraId="72E8B7DB" w14:textId="77777777" w:rsidR="00B9786C" w:rsidRPr="002053A6" w:rsidRDefault="00B9786C" w:rsidP="002E7B49">
            <w:pPr>
              <w:pStyle w:val="Default"/>
              <w:jc w:val="both"/>
              <w:cnfStyle w:val="000000100000" w:firstRow="0" w:lastRow="0" w:firstColumn="0" w:lastColumn="0" w:oddVBand="0" w:evenVBand="0" w:oddHBand="1" w:evenHBand="0" w:firstRowFirstColumn="0" w:firstRowLastColumn="0" w:lastRowFirstColumn="0" w:lastRowLastColumn="0"/>
              <w:rPr>
                <w:color w:val="auto"/>
              </w:rPr>
            </w:pPr>
            <w:r w:rsidRPr="002053A6">
              <w:rPr>
                <w:color w:val="auto"/>
              </w:rPr>
              <w:t xml:space="preserve">Due to limited revenue generated from solid minerals as a result of lack of sector-specific fiscal regime leading to </w:t>
            </w:r>
            <w:proofErr w:type="gramStart"/>
            <w:r w:rsidRPr="002053A6">
              <w:rPr>
                <w:color w:val="auto"/>
              </w:rPr>
              <w:t>heavy  reliance</w:t>
            </w:r>
            <w:proofErr w:type="gramEnd"/>
            <w:r w:rsidRPr="002053A6">
              <w:rPr>
                <w:color w:val="auto"/>
              </w:rPr>
              <w:t xml:space="preserve">  of revenue from MCO and MID during the year, it </w:t>
            </w:r>
            <w:proofErr w:type="gramStart"/>
            <w:r w:rsidRPr="002053A6">
              <w:rPr>
                <w:color w:val="auto"/>
              </w:rPr>
              <w:t>was  noted</w:t>
            </w:r>
            <w:proofErr w:type="gramEnd"/>
            <w:r w:rsidRPr="002053A6">
              <w:rPr>
                <w:color w:val="auto"/>
              </w:rPr>
              <w:t xml:space="preserve"> that revenue available for distribution was small  </w:t>
            </w:r>
          </w:p>
          <w:p w14:paraId="64E2511B" w14:textId="77777777" w:rsidR="00B9786C" w:rsidRPr="002053A6" w:rsidRDefault="00B9786C" w:rsidP="002E7B49">
            <w:pPr>
              <w:pStyle w:val="Default"/>
              <w:cnfStyle w:val="000000100000" w:firstRow="0" w:lastRow="0" w:firstColumn="0" w:lastColumn="0" w:oddVBand="0" w:evenVBand="0" w:oddHBand="1" w:evenHBand="0" w:firstRowFirstColumn="0" w:firstRowLastColumn="0" w:lastRowFirstColumn="0" w:lastRowLastColumn="0"/>
              <w:rPr>
                <w:color w:val="auto"/>
              </w:rPr>
            </w:pPr>
          </w:p>
          <w:p w14:paraId="594E5F16" w14:textId="77777777" w:rsidR="00B9786C" w:rsidRPr="002053A6" w:rsidRDefault="00B9786C" w:rsidP="002E7B49">
            <w:pPr>
              <w:pStyle w:val="Default"/>
              <w:cnfStyle w:val="000000100000" w:firstRow="0" w:lastRow="0" w:firstColumn="0" w:lastColumn="0" w:oddVBand="0" w:evenVBand="0" w:oddHBand="1" w:evenHBand="0" w:firstRowFirstColumn="0" w:firstRowLastColumn="0" w:lastRowFirstColumn="0" w:lastRowLastColumn="0"/>
              <w:rPr>
                <w:color w:val="auto"/>
              </w:rPr>
            </w:pPr>
            <w:r w:rsidRPr="002053A6">
              <w:rPr>
                <w:color w:val="auto"/>
              </w:rPr>
              <w:t>As a result of this abysmal revenue generation, there was no allocations to any tier of government. During the year.</w:t>
            </w:r>
          </w:p>
          <w:p w14:paraId="2EA2A683"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p w14:paraId="30DAA910"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rPr>
              <w:t>As a result, there will be years revenue allocation will be missed out as it happened in the year 2022. As a result, there will be lost opportunities to either invest or develop the country from the solid mineral proceeds</w:t>
            </w:r>
          </w:p>
        </w:tc>
        <w:tc>
          <w:tcPr>
            <w:tcW w:w="7796" w:type="dxa"/>
          </w:tcPr>
          <w:p w14:paraId="4F948A80" w14:textId="77777777" w:rsidR="00B9786C" w:rsidRPr="002053A6" w:rsidRDefault="00B9786C" w:rsidP="002E7B49">
            <w:pPr>
              <w:pStyle w:val="Default"/>
              <w:cnfStyle w:val="000000100000" w:firstRow="0" w:lastRow="0" w:firstColumn="0" w:lastColumn="0" w:oddVBand="0" w:evenVBand="0" w:oddHBand="1" w:evenHBand="0" w:firstRowFirstColumn="0" w:firstRowLastColumn="0" w:lastRowFirstColumn="0" w:lastRowLastColumn="0"/>
              <w:rPr>
                <w:color w:val="auto"/>
              </w:rPr>
            </w:pPr>
            <w:r w:rsidRPr="002053A6">
              <w:rPr>
                <w:color w:val="auto"/>
              </w:rPr>
              <w:t>sector-specific fiscal regime should be developed by MSMD to track revenue from multiple sources by reviewing the potential for revenue losses and develop a robust mechanism to ensure that mining activities are commensurate with the revenue generated</w:t>
            </w:r>
          </w:p>
          <w:p w14:paraId="1092397A"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r>
      <w:tr w:rsidR="00B9786C" w:rsidRPr="002053A6" w14:paraId="57765941" w14:textId="77777777" w:rsidTr="002E7B49">
        <w:tc>
          <w:tcPr>
            <w:cnfStyle w:val="001000000000" w:firstRow="0" w:lastRow="0" w:firstColumn="1" w:lastColumn="0" w:oddVBand="0" w:evenVBand="0" w:oddHBand="0" w:evenHBand="0" w:firstRowFirstColumn="0" w:firstRowLastColumn="0" w:lastRowFirstColumn="0" w:lastRowLastColumn="0"/>
            <w:tcW w:w="591" w:type="dxa"/>
            <w:vAlign w:val="center"/>
          </w:tcPr>
          <w:p w14:paraId="0F52941A" w14:textId="77777777" w:rsidR="00B9786C" w:rsidRPr="002053A6" w:rsidRDefault="00B9786C" w:rsidP="002E7B49">
            <w:pPr>
              <w:rPr>
                <w:rFonts w:ascii="Calibri" w:hAnsi="Calibri" w:cs="Calibri"/>
              </w:rPr>
            </w:pPr>
            <w:r w:rsidRPr="002053A6">
              <w:rPr>
                <w:rFonts w:ascii="Calibri" w:hAnsi="Calibri" w:cs="Calibri"/>
              </w:rPr>
              <w:lastRenderedPageBreak/>
              <w:t>10</w:t>
            </w:r>
          </w:p>
        </w:tc>
        <w:tc>
          <w:tcPr>
            <w:tcW w:w="6497" w:type="dxa"/>
          </w:tcPr>
          <w:p w14:paraId="6E085041"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bCs/>
              </w:rPr>
              <w:t xml:space="preserve">Poor Disclosure or Execution of Mandatory Social Payments </w:t>
            </w:r>
          </w:p>
          <w:p w14:paraId="4FFBD143" w14:textId="77777777" w:rsidR="00B9786C" w:rsidRPr="002053A6" w:rsidRDefault="00B9786C" w:rsidP="002E7B49">
            <w:pPr>
              <w:pStyle w:val="Default"/>
              <w:cnfStyle w:val="000000000000" w:firstRow="0" w:lastRow="0" w:firstColumn="0" w:lastColumn="0" w:oddVBand="0" w:evenVBand="0" w:oddHBand="0" w:evenHBand="0" w:firstRowFirstColumn="0" w:firstRowLastColumn="0" w:lastRowFirstColumn="0" w:lastRowLastColumn="0"/>
              <w:rPr>
                <w:color w:val="auto"/>
              </w:rPr>
            </w:pPr>
            <w:r w:rsidRPr="002053A6">
              <w:rPr>
                <w:color w:val="auto"/>
              </w:rPr>
              <w:t xml:space="preserve">Only 15 out of the 85 companies made the mandatory social payments as contained in the CDA signed with their host communities while 8 companies made non -mandatory social payments/expenditures and 4 companies made both mandatory and non-mandatory special payments. </w:t>
            </w:r>
          </w:p>
          <w:p w14:paraId="0A97D6BA"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rPr>
              <w:t xml:space="preserve">This reveals poor compliance to the social benefit to host communities’ requirements of the NMMA 2007 and NMMR 2011 as embedded in the CDA’s. </w:t>
            </w:r>
          </w:p>
          <w:p w14:paraId="7E1559CF"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rPr>
              <w:t>Host communities will feel taken advantage of and the tendency to become hostile to companies becomes high</w:t>
            </w:r>
          </w:p>
        </w:tc>
        <w:tc>
          <w:tcPr>
            <w:tcW w:w="7796" w:type="dxa"/>
          </w:tcPr>
          <w:p w14:paraId="14235BE7" w14:textId="77777777" w:rsidR="00B9786C" w:rsidRPr="002053A6" w:rsidRDefault="00B9786C" w:rsidP="00B9786C">
            <w:pPr>
              <w:pStyle w:val="ListParagraph"/>
              <w:numPr>
                <w:ilvl w:val="0"/>
                <w:numId w:val="11"/>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b/>
                <w:i/>
              </w:rPr>
            </w:pPr>
            <w:r w:rsidRPr="002053A6">
              <w:rPr>
                <w:rFonts w:ascii="Calibri" w:hAnsi="Calibri" w:cs="Calibri"/>
                <w:b/>
                <w:i/>
              </w:rPr>
              <w:t>Strengthening Regulatory Oversight:</w:t>
            </w:r>
          </w:p>
          <w:p w14:paraId="2B897094" w14:textId="77777777" w:rsidR="00B9786C" w:rsidRPr="002053A6" w:rsidRDefault="00B9786C" w:rsidP="00B9786C">
            <w:pPr>
              <w:pStyle w:val="ListParagraph"/>
              <w:numPr>
                <w:ilvl w:val="0"/>
                <w:numId w:val="12"/>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Regular Audits:</w:t>
            </w:r>
            <w:r w:rsidRPr="002053A6">
              <w:rPr>
                <w:rFonts w:ascii="Calibri" w:hAnsi="Calibri" w:cs="Calibri"/>
              </w:rPr>
              <w:t xml:space="preserve"> Conduct regular audits to ensure companies comply with their CDA commitments</w:t>
            </w:r>
          </w:p>
          <w:p w14:paraId="52B0B86E" w14:textId="77777777" w:rsidR="00B9786C" w:rsidRPr="002053A6" w:rsidRDefault="00B9786C" w:rsidP="00B9786C">
            <w:pPr>
              <w:pStyle w:val="ListParagraph"/>
              <w:numPr>
                <w:ilvl w:val="0"/>
                <w:numId w:val="12"/>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Penalties for Non-Compliance:</w:t>
            </w:r>
            <w:r w:rsidRPr="002053A6">
              <w:rPr>
                <w:rFonts w:ascii="Calibri" w:hAnsi="Calibri" w:cs="Calibri"/>
              </w:rPr>
              <w:t xml:space="preserve"> Implement and enforce penalties for companies that fail to meet their social payment obligations</w:t>
            </w:r>
          </w:p>
          <w:p w14:paraId="60A0258E" w14:textId="77777777" w:rsidR="00B9786C" w:rsidRPr="002053A6" w:rsidRDefault="00B9786C" w:rsidP="002E7B49">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7ACDB15E" w14:textId="77777777" w:rsidR="00B9786C" w:rsidRPr="002053A6" w:rsidRDefault="00B9786C" w:rsidP="00B9786C">
            <w:pPr>
              <w:pStyle w:val="ListParagraph"/>
              <w:numPr>
                <w:ilvl w:val="0"/>
                <w:numId w:val="11"/>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b/>
                <w:i/>
              </w:rPr>
            </w:pPr>
            <w:r w:rsidRPr="002053A6">
              <w:rPr>
                <w:rFonts w:ascii="Calibri" w:hAnsi="Calibri" w:cs="Calibri"/>
                <w:b/>
                <w:i/>
              </w:rPr>
              <w:t>Public Disclosure:</w:t>
            </w:r>
          </w:p>
          <w:p w14:paraId="401A5BDC" w14:textId="77777777" w:rsidR="00B9786C" w:rsidRPr="002053A6" w:rsidRDefault="00B9786C" w:rsidP="00B9786C">
            <w:pPr>
              <w:pStyle w:val="ListParagraph"/>
              <w:numPr>
                <w:ilvl w:val="0"/>
                <w:numId w:val="13"/>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Transparency:</w:t>
            </w:r>
            <w:r w:rsidRPr="002053A6">
              <w:rPr>
                <w:rFonts w:ascii="Calibri" w:hAnsi="Calibri" w:cs="Calibri"/>
              </w:rPr>
              <w:t xml:space="preserve"> Make CDAs and compliance reports publicly accessible to enhance transparency and accountability</w:t>
            </w:r>
          </w:p>
          <w:p w14:paraId="4E42D260" w14:textId="77777777" w:rsidR="00B9786C" w:rsidRPr="002053A6" w:rsidRDefault="00B9786C" w:rsidP="00B9786C">
            <w:pPr>
              <w:pStyle w:val="ListParagraph"/>
              <w:numPr>
                <w:ilvl w:val="0"/>
                <w:numId w:val="13"/>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Community Involvement:</w:t>
            </w:r>
            <w:r w:rsidRPr="002053A6">
              <w:rPr>
                <w:rFonts w:ascii="Calibri" w:hAnsi="Calibri" w:cs="Calibri"/>
              </w:rPr>
              <w:t xml:space="preserve"> Engage local communities in monitoring and verifying the implementation of CDA commitments</w:t>
            </w:r>
          </w:p>
          <w:p w14:paraId="748D8357" w14:textId="77777777" w:rsidR="00B9786C" w:rsidRPr="002053A6" w:rsidRDefault="00B9786C" w:rsidP="002E7B49">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73F491F8" w14:textId="77777777" w:rsidR="00B9786C" w:rsidRPr="002053A6" w:rsidRDefault="00B9786C" w:rsidP="00B9786C">
            <w:pPr>
              <w:pStyle w:val="ListParagraph"/>
              <w:numPr>
                <w:ilvl w:val="0"/>
                <w:numId w:val="11"/>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b/>
                <w:i/>
              </w:rPr>
            </w:pPr>
            <w:r w:rsidRPr="002053A6">
              <w:rPr>
                <w:rFonts w:ascii="Calibri" w:hAnsi="Calibri" w:cs="Calibri"/>
                <w:b/>
                <w:i/>
              </w:rPr>
              <w:t>Capacity Building:</w:t>
            </w:r>
          </w:p>
          <w:p w14:paraId="0890D08E" w14:textId="77777777" w:rsidR="00B9786C" w:rsidRPr="002053A6" w:rsidRDefault="00B9786C" w:rsidP="00B9786C">
            <w:pPr>
              <w:pStyle w:val="ListParagraph"/>
              <w:numPr>
                <w:ilvl w:val="0"/>
                <w:numId w:val="14"/>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3A6">
              <w:rPr>
                <w:rFonts w:ascii="Calibri" w:hAnsi="Calibri" w:cs="Calibri"/>
                <w:b/>
              </w:rPr>
              <w:t>Training Programs:</w:t>
            </w:r>
            <w:r w:rsidRPr="002053A6">
              <w:rPr>
                <w:rFonts w:ascii="Calibri" w:hAnsi="Calibri" w:cs="Calibri"/>
              </w:rPr>
              <w:t xml:space="preserve"> Provide training for both companies and community representatives on the importance of CDAs and best practices for implementation</w:t>
            </w:r>
          </w:p>
          <w:p w14:paraId="369D9BFF" w14:textId="77777777" w:rsidR="00B9786C" w:rsidRPr="002053A6" w:rsidRDefault="00B9786C" w:rsidP="002E7B49">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053A6">
              <w:rPr>
                <w:rFonts w:ascii="Calibri" w:hAnsi="Calibri" w:cs="Calibri"/>
                <w:b/>
              </w:rPr>
              <w:t>Support Mechanisms:</w:t>
            </w:r>
            <w:r w:rsidRPr="002053A6">
              <w:rPr>
                <w:rFonts w:ascii="Calibri" w:hAnsi="Calibri" w:cs="Calibri"/>
              </w:rPr>
              <w:t xml:space="preserve"> Establish support mechanisms to help companies and communities effectively manage and utilize social payments</w:t>
            </w:r>
          </w:p>
        </w:tc>
      </w:tr>
      <w:tr w:rsidR="00B9786C" w:rsidRPr="002053A6" w14:paraId="4C831C72" w14:textId="77777777" w:rsidTr="002E7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vAlign w:val="center"/>
          </w:tcPr>
          <w:p w14:paraId="724B07B9" w14:textId="77777777" w:rsidR="00B9786C" w:rsidRPr="002053A6" w:rsidRDefault="00B9786C" w:rsidP="002E7B49">
            <w:pPr>
              <w:rPr>
                <w:rFonts w:ascii="Calibri" w:hAnsi="Calibri" w:cs="Calibri"/>
              </w:rPr>
            </w:pPr>
            <w:r w:rsidRPr="002053A6">
              <w:rPr>
                <w:rFonts w:ascii="Calibri" w:hAnsi="Calibri" w:cs="Calibri"/>
              </w:rPr>
              <w:t>11</w:t>
            </w:r>
          </w:p>
        </w:tc>
        <w:tc>
          <w:tcPr>
            <w:tcW w:w="6497" w:type="dxa"/>
          </w:tcPr>
          <w:p w14:paraId="437440BD"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053A6">
              <w:rPr>
                <w:rFonts w:ascii="Calibri" w:hAnsi="Calibri" w:cs="Calibri"/>
                <w:b/>
                <w:bCs/>
              </w:rPr>
              <w:t>Non-Publication of CDAs on accessible domains by the public</w:t>
            </w:r>
          </w:p>
          <w:p w14:paraId="5DE4684D"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Cs/>
              </w:rPr>
              <w:t>It is noted that the signed CDAs in the custody of the MSMD (MECD) are not publicly accessible. This is conflicting to Nigeria's commitment to open government and the EITI's requirement for open data.</w:t>
            </w:r>
          </w:p>
          <w:p w14:paraId="1E82436B"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Cs/>
              </w:rPr>
            </w:pPr>
            <w:r w:rsidRPr="002053A6">
              <w:rPr>
                <w:rFonts w:ascii="Calibri" w:hAnsi="Calibri" w:cs="Calibri"/>
                <w:bCs/>
              </w:rPr>
              <w:t>As a result,</w:t>
            </w:r>
          </w:p>
          <w:p w14:paraId="06611380" w14:textId="77777777" w:rsidR="00B9786C" w:rsidRPr="002053A6" w:rsidRDefault="00B9786C" w:rsidP="00B9786C">
            <w:pPr>
              <w:pStyle w:val="ListParagraph"/>
              <w:numPr>
                <w:ilvl w:val="0"/>
                <w:numId w:val="2"/>
              </w:numPr>
              <w:spacing w:after="160" w:line="259" w:lineRule="auto"/>
              <w:ind w:left="337" w:hanging="261"/>
              <w:cnfStyle w:val="000000100000" w:firstRow="0" w:lastRow="0" w:firstColumn="0" w:lastColumn="0" w:oddVBand="0" w:evenVBand="0" w:oddHBand="1" w:evenHBand="0" w:firstRowFirstColumn="0" w:firstRowLastColumn="0" w:lastRowFirstColumn="0" w:lastRowLastColumn="0"/>
              <w:rPr>
                <w:rFonts w:ascii="Calibri" w:hAnsi="Calibri" w:cs="Calibri"/>
                <w:b/>
                <w:i/>
              </w:rPr>
            </w:pPr>
            <w:r w:rsidRPr="002053A6">
              <w:rPr>
                <w:rFonts w:ascii="Calibri" w:hAnsi="Calibri" w:cs="Calibri"/>
                <w:b/>
                <w:i/>
              </w:rPr>
              <w:t>Transparency and Accountability:</w:t>
            </w:r>
          </w:p>
          <w:p w14:paraId="5535CEBF" w14:textId="77777777" w:rsidR="00B9786C" w:rsidRPr="002053A6" w:rsidRDefault="00B9786C" w:rsidP="00B9786C">
            <w:pPr>
              <w:pStyle w:val="ListParagraph"/>
              <w:numPr>
                <w:ilvl w:val="0"/>
                <w:numId w:val="3"/>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Opaque Processes:</w:t>
            </w:r>
            <w:r w:rsidRPr="002053A6">
              <w:rPr>
                <w:rFonts w:ascii="Calibri" w:hAnsi="Calibri" w:cs="Calibri"/>
              </w:rPr>
              <w:t xml:space="preserve"> Without public access to CDAs, it is difficult to hold companies accountable for their commitments to host communities</w:t>
            </w:r>
          </w:p>
          <w:p w14:paraId="0C49468A" w14:textId="77777777" w:rsidR="00B9786C" w:rsidRPr="002053A6" w:rsidRDefault="00B9786C" w:rsidP="00B9786C">
            <w:pPr>
              <w:pStyle w:val="ListParagraph"/>
              <w:numPr>
                <w:ilvl w:val="0"/>
                <w:numId w:val="3"/>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lastRenderedPageBreak/>
              <w:t>Trust Deficit:</w:t>
            </w:r>
            <w:r w:rsidRPr="002053A6">
              <w:rPr>
                <w:rFonts w:ascii="Calibri" w:hAnsi="Calibri" w:cs="Calibri"/>
              </w:rPr>
              <w:t xml:space="preserve"> The lack of transparency can lead to mistrust between communities, companies, and the government</w:t>
            </w:r>
          </w:p>
          <w:p w14:paraId="7223C4BE" w14:textId="77777777" w:rsidR="00B9786C" w:rsidRPr="002053A6" w:rsidRDefault="00B9786C" w:rsidP="002E7B49">
            <w:pPr>
              <w:pStyle w:val="ListParagraph"/>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613F9818" w14:textId="77777777" w:rsidR="00B9786C" w:rsidRPr="002053A6" w:rsidRDefault="00B9786C" w:rsidP="00B9786C">
            <w:pPr>
              <w:pStyle w:val="ListParagraph"/>
              <w:numPr>
                <w:ilvl w:val="0"/>
                <w:numId w:val="2"/>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b/>
                <w:i/>
              </w:rPr>
            </w:pPr>
            <w:r w:rsidRPr="002053A6">
              <w:rPr>
                <w:rFonts w:ascii="Calibri" w:hAnsi="Calibri" w:cs="Calibri"/>
                <w:b/>
                <w:i/>
              </w:rPr>
              <w:t>Monitoring and Compliance:</w:t>
            </w:r>
          </w:p>
          <w:p w14:paraId="5FBAC049" w14:textId="77777777" w:rsidR="00B9786C" w:rsidRPr="002053A6" w:rsidRDefault="00B9786C" w:rsidP="00B9786C">
            <w:pPr>
              <w:pStyle w:val="ListParagraph"/>
              <w:numPr>
                <w:ilvl w:val="0"/>
                <w:numId w:val="4"/>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Enforcement Challenges:</w:t>
            </w:r>
            <w:r w:rsidRPr="002053A6">
              <w:rPr>
                <w:rFonts w:ascii="Calibri" w:hAnsi="Calibri" w:cs="Calibri"/>
              </w:rPr>
              <w:t xml:space="preserve"> Regulatory authorities and communities may struggle to monitor and ensure compliance with the terms of the CDAs if they are not publicly accessible</w:t>
            </w:r>
          </w:p>
          <w:p w14:paraId="1A6F9C1F" w14:textId="77777777" w:rsidR="00B9786C" w:rsidRPr="002053A6" w:rsidRDefault="00B9786C" w:rsidP="00B9786C">
            <w:pPr>
              <w:pStyle w:val="ListParagraph"/>
              <w:numPr>
                <w:ilvl w:val="0"/>
                <w:numId w:val="4"/>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Inconsistent Implementation:</w:t>
            </w:r>
            <w:r w:rsidRPr="002053A6">
              <w:rPr>
                <w:rFonts w:ascii="Calibri" w:hAnsi="Calibri" w:cs="Calibri"/>
              </w:rPr>
              <w:t xml:space="preserve"> There may be inconsistencies in how CDAs are implemented across different regions and companies</w:t>
            </w:r>
          </w:p>
          <w:p w14:paraId="46C4FE72" w14:textId="77777777" w:rsidR="00B9786C" w:rsidRPr="002053A6" w:rsidRDefault="00B9786C" w:rsidP="002E7B49">
            <w:pPr>
              <w:pStyle w:val="ListParagraph"/>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0E622333" w14:textId="77777777" w:rsidR="00B9786C" w:rsidRPr="002053A6" w:rsidRDefault="00B9786C" w:rsidP="00B9786C">
            <w:pPr>
              <w:pStyle w:val="ListParagraph"/>
              <w:numPr>
                <w:ilvl w:val="0"/>
                <w:numId w:val="2"/>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b/>
                <w:i/>
              </w:rPr>
            </w:pPr>
            <w:r w:rsidRPr="002053A6">
              <w:rPr>
                <w:rFonts w:ascii="Calibri" w:hAnsi="Calibri" w:cs="Calibri"/>
                <w:b/>
                <w:i/>
              </w:rPr>
              <w:t>Community Benefits:</w:t>
            </w:r>
          </w:p>
          <w:p w14:paraId="65ED0F73" w14:textId="77777777" w:rsidR="00B9786C" w:rsidRPr="002053A6" w:rsidRDefault="00B9786C" w:rsidP="00B9786C">
            <w:pPr>
              <w:pStyle w:val="ListParagraph"/>
              <w:numPr>
                <w:ilvl w:val="0"/>
                <w:numId w:val="5"/>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Unmet Expectations:</w:t>
            </w:r>
            <w:r w:rsidRPr="002053A6">
              <w:rPr>
                <w:rFonts w:ascii="Calibri" w:hAnsi="Calibri" w:cs="Calibri"/>
              </w:rPr>
              <w:t xml:space="preserve"> Communities may not receive the promised benefits if they are unaware of the specific commitments made by companies</w:t>
            </w:r>
          </w:p>
          <w:p w14:paraId="5276AA42" w14:textId="77777777" w:rsidR="00B9786C" w:rsidRPr="002053A6" w:rsidRDefault="00B9786C" w:rsidP="00B9786C">
            <w:pPr>
              <w:pStyle w:val="ListParagraph"/>
              <w:numPr>
                <w:ilvl w:val="0"/>
                <w:numId w:val="5"/>
              </w:numPr>
              <w:spacing w:after="160" w:line="259" w:lineRule="auto"/>
              <w:ind w:left="337"/>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Social Unrest:</w:t>
            </w:r>
            <w:r w:rsidRPr="002053A6">
              <w:rPr>
                <w:rFonts w:ascii="Calibri" w:hAnsi="Calibri" w:cs="Calibri"/>
              </w:rPr>
              <w:t xml:space="preserve"> Lack of transparency can lead to social unrest and conflicts if communities feel they are not being fairly treated</w:t>
            </w:r>
          </w:p>
          <w:p w14:paraId="2D6E8D01" w14:textId="77777777" w:rsidR="00B9786C" w:rsidRPr="002053A6" w:rsidRDefault="00B9786C" w:rsidP="002E7B49">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7796" w:type="dxa"/>
          </w:tcPr>
          <w:p w14:paraId="05242FD7" w14:textId="77777777" w:rsidR="00B9786C" w:rsidRPr="002053A6" w:rsidRDefault="00B9786C" w:rsidP="00B9786C">
            <w:pPr>
              <w:pStyle w:val="ListParagraph"/>
              <w:numPr>
                <w:ilvl w:val="0"/>
                <w:numId w:val="6"/>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2053A6">
              <w:rPr>
                <w:rFonts w:ascii="Calibri" w:hAnsi="Calibri" w:cs="Calibri"/>
                <w:b/>
              </w:rPr>
              <w:lastRenderedPageBreak/>
              <w:t>Public Disclosure of CDAs:</w:t>
            </w:r>
          </w:p>
          <w:p w14:paraId="584C01BA" w14:textId="77777777" w:rsidR="00B9786C" w:rsidRPr="002053A6" w:rsidRDefault="00B9786C" w:rsidP="00B9786C">
            <w:pPr>
              <w:pStyle w:val="ListParagraph"/>
              <w:numPr>
                <w:ilvl w:val="0"/>
                <w:numId w:val="8"/>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 xml:space="preserve">Online Portals: </w:t>
            </w:r>
            <w:r w:rsidRPr="002053A6">
              <w:rPr>
                <w:rFonts w:ascii="Calibri" w:hAnsi="Calibri" w:cs="Calibri"/>
              </w:rPr>
              <w:t>Establish online portals where all signed CDAs are made publicly accessible. This can enhance transparency and allow stakeholders to monitor compliance</w:t>
            </w:r>
          </w:p>
          <w:p w14:paraId="76EB265E" w14:textId="77777777" w:rsidR="00B9786C" w:rsidRPr="002053A6" w:rsidRDefault="00B9786C" w:rsidP="00B9786C">
            <w:pPr>
              <w:pStyle w:val="ListParagraph"/>
              <w:numPr>
                <w:ilvl w:val="0"/>
                <w:numId w:val="7"/>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Regular Updates:</w:t>
            </w:r>
            <w:r w:rsidRPr="002053A6">
              <w:rPr>
                <w:rFonts w:ascii="Calibri" w:hAnsi="Calibri" w:cs="Calibri"/>
              </w:rPr>
              <w:t xml:space="preserve"> Ensure that the information on these portals is regularly updated to reflect any changes or new agreements</w:t>
            </w:r>
          </w:p>
          <w:p w14:paraId="362BD045" w14:textId="77777777" w:rsidR="00B9786C" w:rsidRPr="002053A6" w:rsidRDefault="00B9786C" w:rsidP="002E7B49">
            <w:pPr>
              <w:pStyle w:val="ListParagraph"/>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49E1C51A" w14:textId="77777777" w:rsidR="00B9786C" w:rsidRPr="002053A6" w:rsidRDefault="00B9786C" w:rsidP="00B9786C">
            <w:pPr>
              <w:pStyle w:val="ListParagraph"/>
              <w:numPr>
                <w:ilvl w:val="0"/>
                <w:numId w:val="6"/>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b/>
                <w:i/>
              </w:rPr>
            </w:pPr>
            <w:r w:rsidRPr="002053A6">
              <w:rPr>
                <w:rFonts w:ascii="Calibri" w:hAnsi="Calibri" w:cs="Calibri"/>
                <w:b/>
                <w:i/>
              </w:rPr>
              <w:t>Strengthening Regulatory Frameworks:</w:t>
            </w:r>
          </w:p>
          <w:p w14:paraId="75534EB5" w14:textId="77777777" w:rsidR="00B9786C" w:rsidRPr="002053A6" w:rsidRDefault="00B9786C" w:rsidP="00B9786C">
            <w:pPr>
              <w:pStyle w:val="ListParagraph"/>
              <w:numPr>
                <w:ilvl w:val="0"/>
                <w:numId w:val="7"/>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Mandatory Disclosure:</w:t>
            </w:r>
            <w:r w:rsidRPr="002053A6">
              <w:rPr>
                <w:rFonts w:ascii="Calibri" w:hAnsi="Calibri" w:cs="Calibri"/>
              </w:rPr>
              <w:t xml:space="preserve"> Update regulations to mandate the public disclosure of CDAs as part of the licensing and regulatory process</w:t>
            </w:r>
          </w:p>
          <w:p w14:paraId="17FF74E9" w14:textId="77777777" w:rsidR="00B9786C" w:rsidRPr="002053A6" w:rsidRDefault="00B9786C" w:rsidP="00B9786C">
            <w:pPr>
              <w:pStyle w:val="ListParagraph"/>
              <w:numPr>
                <w:ilvl w:val="0"/>
                <w:numId w:val="7"/>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lastRenderedPageBreak/>
              <w:t>Compliance Monitoring:</w:t>
            </w:r>
            <w:r w:rsidRPr="002053A6">
              <w:rPr>
                <w:rFonts w:ascii="Calibri" w:hAnsi="Calibri" w:cs="Calibri"/>
              </w:rPr>
              <w:t xml:space="preserve"> Implement robust mechanisms for monitoring compliance with CDA commitments, including regular audits and community feedback</w:t>
            </w:r>
          </w:p>
          <w:p w14:paraId="3E34CB90" w14:textId="77777777" w:rsidR="00B9786C" w:rsidRPr="002053A6" w:rsidRDefault="00B9786C" w:rsidP="002E7B49">
            <w:pPr>
              <w:pStyle w:val="ListParagraph"/>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0A7220A4" w14:textId="77777777" w:rsidR="00B9786C" w:rsidRPr="002053A6" w:rsidRDefault="00B9786C" w:rsidP="00B9786C">
            <w:pPr>
              <w:pStyle w:val="ListParagraph"/>
              <w:numPr>
                <w:ilvl w:val="0"/>
                <w:numId w:val="6"/>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b/>
              </w:rPr>
            </w:pPr>
            <w:r w:rsidRPr="002053A6">
              <w:rPr>
                <w:rFonts w:ascii="Calibri" w:hAnsi="Calibri" w:cs="Calibri"/>
                <w:b/>
              </w:rPr>
              <w:t>Community Engagement:</w:t>
            </w:r>
          </w:p>
          <w:p w14:paraId="575AF870" w14:textId="77777777" w:rsidR="00B9786C" w:rsidRPr="002053A6" w:rsidRDefault="00B9786C" w:rsidP="00B9786C">
            <w:pPr>
              <w:pStyle w:val="ListParagraph"/>
              <w:numPr>
                <w:ilvl w:val="0"/>
                <w:numId w:val="9"/>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Awareness Campaigns:</w:t>
            </w:r>
            <w:r w:rsidRPr="002053A6">
              <w:rPr>
                <w:rFonts w:ascii="Calibri" w:hAnsi="Calibri" w:cs="Calibri"/>
              </w:rPr>
              <w:t xml:space="preserve"> Conduct awareness campaigns to educate communities about their rights and the contents of CDAs</w:t>
            </w:r>
          </w:p>
          <w:p w14:paraId="57F9B7C1" w14:textId="77777777" w:rsidR="00B9786C" w:rsidRPr="002053A6" w:rsidRDefault="00B9786C" w:rsidP="00B9786C">
            <w:pPr>
              <w:pStyle w:val="ListParagraph"/>
              <w:numPr>
                <w:ilvl w:val="0"/>
                <w:numId w:val="9"/>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Stakeholder Involvement:</w:t>
            </w:r>
            <w:r w:rsidRPr="002053A6">
              <w:rPr>
                <w:rFonts w:ascii="Calibri" w:hAnsi="Calibri" w:cs="Calibri"/>
              </w:rPr>
              <w:t xml:space="preserve"> Involve local communities in the negotiation and monitoring of CDAs to ensure their needs and concerns are addressed</w:t>
            </w:r>
          </w:p>
          <w:p w14:paraId="220B4381" w14:textId="77777777" w:rsidR="00B9786C" w:rsidRPr="002053A6" w:rsidRDefault="00B9786C" w:rsidP="002E7B49">
            <w:pPr>
              <w:pStyle w:val="ListParagraph"/>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25295DEB" w14:textId="77777777" w:rsidR="00B9786C" w:rsidRPr="002053A6" w:rsidRDefault="00B9786C" w:rsidP="00B9786C">
            <w:pPr>
              <w:pStyle w:val="ListParagraph"/>
              <w:numPr>
                <w:ilvl w:val="0"/>
                <w:numId w:val="6"/>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b/>
                <w:i/>
              </w:rPr>
            </w:pPr>
            <w:r w:rsidRPr="002053A6">
              <w:rPr>
                <w:rFonts w:ascii="Calibri" w:hAnsi="Calibri" w:cs="Calibri"/>
                <w:b/>
                <w:i/>
              </w:rPr>
              <w:t>Leveraging Technology:</w:t>
            </w:r>
          </w:p>
          <w:p w14:paraId="3F04C0BC" w14:textId="77777777" w:rsidR="00B9786C" w:rsidRPr="002053A6" w:rsidRDefault="00B9786C" w:rsidP="00B9786C">
            <w:pPr>
              <w:pStyle w:val="ListParagraph"/>
              <w:numPr>
                <w:ilvl w:val="0"/>
                <w:numId w:val="10"/>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Digital Platforms:</w:t>
            </w:r>
            <w:r w:rsidRPr="002053A6">
              <w:rPr>
                <w:rFonts w:ascii="Calibri" w:hAnsi="Calibri" w:cs="Calibri"/>
              </w:rPr>
              <w:t xml:space="preserve"> Utilize digital platforms and blockchain technology to securely record and track CDA commitments and compliance</w:t>
            </w:r>
          </w:p>
          <w:p w14:paraId="3462C743" w14:textId="77777777" w:rsidR="00B9786C" w:rsidRPr="002053A6" w:rsidRDefault="00B9786C" w:rsidP="00B9786C">
            <w:pPr>
              <w:pStyle w:val="ListParagraph"/>
              <w:numPr>
                <w:ilvl w:val="0"/>
                <w:numId w:val="10"/>
              </w:numPr>
              <w:spacing w:after="160" w:line="259" w:lineRule="auto"/>
              <w:ind w:left="44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053A6">
              <w:rPr>
                <w:rFonts w:ascii="Calibri" w:hAnsi="Calibri" w:cs="Calibri"/>
                <w:b/>
              </w:rPr>
              <w:t>Mobile Applications:</w:t>
            </w:r>
            <w:r w:rsidRPr="002053A6">
              <w:rPr>
                <w:rFonts w:ascii="Calibri" w:hAnsi="Calibri" w:cs="Calibri"/>
              </w:rPr>
              <w:t xml:space="preserve"> Develop mobile applications that allow communities to access information about CDAs and report non-compliance</w:t>
            </w:r>
          </w:p>
        </w:tc>
      </w:tr>
    </w:tbl>
    <w:p w14:paraId="5CE729B6" w14:textId="79C48ED4" w:rsidR="00B9786C" w:rsidRPr="002053A6" w:rsidRDefault="00B9786C" w:rsidP="00B9786C">
      <w:pPr>
        <w:rPr>
          <w:rFonts w:ascii="Calibri" w:hAnsi="Calibri" w:cs="Calibri"/>
          <w:lang w:val="en-US"/>
        </w:rPr>
        <w:sectPr w:rsidR="00B9786C" w:rsidRPr="002053A6" w:rsidSect="00B9786C">
          <w:pgSz w:w="16840" w:h="11900" w:orient="landscape"/>
          <w:pgMar w:top="1128" w:right="1985" w:bottom="1298" w:left="1979" w:header="720" w:footer="567" w:gutter="0"/>
          <w:cols w:space="496"/>
          <w:docGrid w:linePitch="360"/>
        </w:sectPr>
      </w:pPr>
    </w:p>
    <w:p w14:paraId="2C842BAC" w14:textId="77777777" w:rsidR="00B9786C" w:rsidRPr="00FD1249" w:rsidRDefault="00B9786C" w:rsidP="00B9786C">
      <w:pPr>
        <w:rPr>
          <w:rFonts w:ascii="Calibri" w:hAnsi="Calibri" w:cs="Calibri"/>
        </w:rPr>
      </w:pPr>
    </w:p>
    <w:sectPr w:rsidR="00B9786C" w:rsidRPr="00FD1249" w:rsidSect="00B9786C">
      <w:pgSz w:w="16840" w:h="11900" w:orient="landscape"/>
      <w:pgMar w:top="1298" w:right="1980" w:bottom="1127" w:left="1985" w:header="720" w:footer="567" w:gutter="0"/>
      <w:cols w:space="4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7693E" w14:textId="77777777" w:rsidR="00DD0146" w:rsidRDefault="00DD0146" w:rsidP="00B9786C">
      <w:r>
        <w:separator/>
      </w:r>
    </w:p>
  </w:endnote>
  <w:endnote w:type="continuationSeparator" w:id="0">
    <w:p w14:paraId="5DCD47DD" w14:textId="77777777" w:rsidR="00DD0146" w:rsidRDefault="00DD0146" w:rsidP="00B97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tium Basic">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27441"/>
      <w:docPartObj>
        <w:docPartGallery w:val="Page Numbers (Bottom of Page)"/>
        <w:docPartUnique/>
      </w:docPartObj>
    </w:sdtPr>
    <w:sdtEndPr>
      <w:rPr>
        <w:noProof/>
      </w:rPr>
    </w:sdtEndPr>
    <w:sdtContent>
      <w:p w14:paraId="3C414D8F" w14:textId="3056DC9E" w:rsidR="00B9786C" w:rsidRDefault="00B97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F330E4" w14:textId="77777777" w:rsidR="00B9786C" w:rsidRDefault="00B97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34BB" w14:textId="77777777" w:rsidR="00DD0146" w:rsidRDefault="00DD0146" w:rsidP="00B9786C">
      <w:r>
        <w:separator/>
      </w:r>
    </w:p>
  </w:footnote>
  <w:footnote w:type="continuationSeparator" w:id="0">
    <w:p w14:paraId="3DB5C9B1" w14:textId="77777777" w:rsidR="00DD0146" w:rsidRDefault="00DD0146" w:rsidP="00B97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0301" w14:textId="77777777" w:rsidR="00B9786C" w:rsidRDefault="00B9786C" w:rsidP="00D27DDC">
    <w:pPr>
      <w:pStyle w:val="Header"/>
      <w:tabs>
        <w:tab w:val="left" w:pos="2191"/>
      </w:tabs>
    </w:pPr>
    <w:r w:rsidRPr="00A05479">
      <w:rPr>
        <w:rFonts w:ascii="Century Gothic" w:hAnsi="Century Gothic" w:cstheme="minorHAnsi"/>
        <w:b/>
        <w:noProof/>
        <w:color w:val="538135" w:themeColor="accent6" w:themeShade="BF"/>
        <w:sz w:val="44"/>
        <w:szCs w:val="22"/>
      </w:rPr>
      <w:drawing>
        <wp:anchor distT="0" distB="0" distL="114300" distR="114300" simplePos="0" relativeHeight="251659264" behindDoc="0" locked="0" layoutInCell="1" allowOverlap="1" wp14:anchorId="339A5D20" wp14:editId="43F35F67">
          <wp:simplePos x="0" y="0"/>
          <wp:positionH relativeFrom="column">
            <wp:posOffset>-732155</wp:posOffset>
          </wp:positionH>
          <wp:positionV relativeFrom="paragraph">
            <wp:posOffset>-394788</wp:posOffset>
          </wp:positionV>
          <wp:extent cx="1841500" cy="698500"/>
          <wp:effectExtent l="0" t="0" r="6350" b="635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150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07A"/>
    <w:multiLevelType w:val="hybridMultilevel"/>
    <w:tmpl w:val="9684E1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D70EC3"/>
    <w:multiLevelType w:val="hybridMultilevel"/>
    <w:tmpl w:val="FC143064"/>
    <w:lvl w:ilvl="0" w:tplc="2000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B26D6"/>
    <w:multiLevelType w:val="hybridMultilevel"/>
    <w:tmpl w:val="51D27DC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550D84"/>
    <w:multiLevelType w:val="hybridMultilevel"/>
    <w:tmpl w:val="94DAE3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E034AFF"/>
    <w:multiLevelType w:val="hybridMultilevel"/>
    <w:tmpl w:val="9AA418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0CD3A8D"/>
    <w:multiLevelType w:val="hybridMultilevel"/>
    <w:tmpl w:val="8BBC1E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5B5417"/>
    <w:multiLevelType w:val="hybridMultilevel"/>
    <w:tmpl w:val="9F68CC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4400ED7"/>
    <w:multiLevelType w:val="hybridMultilevel"/>
    <w:tmpl w:val="24E843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914C93"/>
    <w:multiLevelType w:val="hybridMultilevel"/>
    <w:tmpl w:val="BD9242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C225114"/>
    <w:multiLevelType w:val="hybridMultilevel"/>
    <w:tmpl w:val="5ED8FDE8"/>
    <w:lvl w:ilvl="0" w:tplc="2000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2C4002"/>
    <w:multiLevelType w:val="hybridMultilevel"/>
    <w:tmpl w:val="A0BCFD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8392446"/>
    <w:multiLevelType w:val="hybridMultilevel"/>
    <w:tmpl w:val="96A0FD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B666B7B"/>
    <w:multiLevelType w:val="hybridMultilevel"/>
    <w:tmpl w:val="18DE59E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39F5CF5"/>
    <w:multiLevelType w:val="hybridMultilevel"/>
    <w:tmpl w:val="9D5A37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3B25112"/>
    <w:multiLevelType w:val="hybridMultilevel"/>
    <w:tmpl w:val="EBD28B12"/>
    <w:lvl w:ilvl="0" w:tplc="2000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6C54AD"/>
    <w:multiLevelType w:val="hybridMultilevel"/>
    <w:tmpl w:val="7820FD82"/>
    <w:lvl w:ilvl="0" w:tplc="2000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F292881"/>
    <w:multiLevelType w:val="hybridMultilevel"/>
    <w:tmpl w:val="18DC11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02C65BC"/>
    <w:multiLevelType w:val="hybridMultilevel"/>
    <w:tmpl w:val="5442DFC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6746282"/>
    <w:multiLevelType w:val="hybridMultilevel"/>
    <w:tmpl w:val="D6A642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D473F0F"/>
    <w:multiLevelType w:val="hybridMultilevel"/>
    <w:tmpl w:val="C29EC6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2C732D7"/>
    <w:multiLevelType w:val="hybridMultilevel"/>
    <w:tmpl w:val="1A64F5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4316601"/>
    <w:multiLevelType w:val="hybridMultilevel"/>
    <w:tmpl w:val="0EFE97FA"/>
    <w:lvl w:ilvl="0" w:tplc="2000001B">
      <w:start w:val="1"/>
      <w:numFmt w:val="lowerRoman"/>
      <w:lvlText w:val="%1."/>
      <w:lvlJc w:val="righ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46823D7"/>
    <w:multiLevelType w:val="hybridMultilevel"/>
    <w:tmpl w:val="E06A0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51D48BF"/>
    <w:multiLevelType w:val="multilevel"/>
    <w:tmpl w:val="51D82A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B406D5"/>
    <w:multiLevelType w:val="hybridMultilevel"/>
    <w:tmpl w:val="8BC2F1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34E3D6C"/>
    <w:multiLevelType w:val="hybridMultilevel"/>
    <w:tmpl w:val="3522CD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9EE7CEB"/>
    <w:multiLevelType w:val="hybridMultilevel"/>
    <w:tmpl w:val="2E608998"/>
    <w:lvl w:ilvl="0" w:tplc="2000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390A9E"/>
    <w:multiLevelType w:val="hybridMultilevel"/>
    <w:tmpl w:val="C964A4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98176000">
    <w:abstractNumId w:val="23"/>
  </w:num>
  <w:num w:numId="2" w16cid:durableId="1907184751">
    <w:abstractNumId w:val="5"/>
  </w:num>
  <w:num w:numId="3" w16cid:durableId="1529835302">
    <w:abstractNumId w:val="0"/>
  </w:num>
  <w:num w:numId="4" w16cid:durableId="1725718190">
    <w:abstractNumId w:val="8"/>
  </w:num>
  <w:num w:numId="5" w16cid:durableId="340862531">
    <w:abstractNumId w:val="22"/>
  </w:num>
  <w:num w:numId="6" w16cid:durableId="114521822">
    <w:abstractNumId w:val="3"/>
  </w:num>
  <w:num w:numId="7" w16cid:durableId="1825929528">
    <w:abstractNumId w:val="19"/>
  </w:num>
  <w:num w:numId="8" w16cid:durableId="553930754">
    <w:abstractNumId w:val="6"/>
  </w:num>
  <w:num w:numId="9" w16cid:durableId="310066806">
    <w:abstractNumId w:val="27"/>
  </w:num>
  <w:num w:numId="10" w16cid:durableId="101658235">
    <w:abstractNumId w:val="15"/>
  </w:num>
  <w:num w:numId="11" w16cid:durableId="1702439408">
    <w:abstractNumId w:val="24"/>
  </w:num>
  <w:num w:numId="12" w16cid:durableId="625739147">
    <w:abstractNumId w:val="13"/>
  </w:num>
  <w:num w:numId="13" w16cid:durableId="1271161540">
    <w:abstractNumId w:val="7"/>
  </w:num>
  <w:num w:numId="14" w16cid:durableId="1183859121">
    <w:abstractNumId w:val="4"/>
  </w:num>
  <w:num w:numId="15" w16cid:durableId="186717815">
    <w:abstractNumId w:val="26"/>
  </w:num>
  <w:num w:numId="16" w16cid:durableId="571544443">
    <w:abstractNumId w:val="1"/>
  </w:num>
  <w:num w:numId="17" w16cid:durableId="2024161444">
    <w:abstractNumId w:val="2"/>
  </w:num>
  <w:num w:numId="18" w16cid:durableId="245193964">
    <w:abstractNumId w:val="21"/>
  </w:num>
  <w:num w:numId="19" w16cid:durableId="351613009">
    <w:abstractNumId w:val="17"/>
  </w:num>
  <w:num w:numId="20" w16cid:durableId="1395620841">
    <w:abstractNumId w:val="12"/>
  </w:num>
  <w:num w:numId="21" w16cid:durableId="1900748654">
    <w:abstractNumId w:val="10"/>
  </w:num>
  <w:num w:numId="22" w16cid:durableId="1917014755">
    <w:abstractNumId w:val="25"/>
  </w:num>
  <w:num w:numId="23" w16cid:durableId="650600972">
    <w:abstractNumId w:val="20"/>
  </w:num>
  <w:num w:numId="24" w16cid:durableId="1044908886">
    <w:abstractNumId w:val="16"/>
  </w:num>
  <w:num w:numId="25" w16cid:durableId="104083887">
    <w:abstractNumId w:val="11"/>
  </w:num>
  <w:num w:numId="26" w16cid:durableId="1387414437">
    <w:abstractNumId w:val="18"/>
  </w:num>
  <w:num w:numId="27" w16cid:durableId="206532228">
    <w:abstractNumId w:val="9"/>
  </w:num>
  <w:num w:numId="28" w16cid:durableId="1724565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6C"/>
    <w:rsid w:val="005A1527"/>
    <w:rsid w:val="00663506"/>
    <w:rsid w:val="006E5111"/>
    <w:rsid w:val="00754386"/>
    <w:rsid w:val="00B9786C"/>
    <w:rsid w:val="00DD014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02ADE"/>
  <w15:chartTrackingRefBased/>
  <w15:docId w15:val="{915B652A-D4BA-4B5E-8D84-D17D779C4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86C"/>
    <w:pPr>
      <w:spacing w:after="0" w:line="240" w:lineRule="auto"/>
    </w:pPr>
    <w:rPr>
      <w:rFonts w:ascii="Times New Roman" w:eastAsia="Times New Roman" w:hAnsi="Times New Roman" w:cs="Times New Roman"/>
      <w:kern w:val="0"/>
      <w:sz w:val="24"/>
      <w:szCs w:val="24"/>
      <w:lang w:eastAsia="en-NG"/>
      <w14:ligatures w14:val="none"/>
    </w:rPr>
  </w:style>
  <w:style w:type="paragraph" w:styleId="Heading1">
    <w:name w:val="heading 1"/>
    <w:basedOn w:val="Normal"/>
    <w:next w:val="Normal"/>
    <w:link w:val="Heading1Char"/>
    <w:uiPriority w:val="9"/>
    <w:qFormat/>
    <w:rsid w:val="00B978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78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78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78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78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78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8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8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8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8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78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78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78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78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86C"/>
    <w:rPr>
      <w:rFonts w:eastAsiaTheme="majorEastAsia" w:cstheme="majorBidi"/>
      <w:color w:val="272727" w:themeColor="text1" w:themeTint="D8"/>
    </w:rPr>
  </w:style>
  <w:style w:type="paragraph" w:styleId="Title">
    <w:name w:val="Title"/>
    <w:basedOn w:val="Normal"/>
    <w:next w:val="Normal"/>
    <w:link w:val="TitleChar"/>
    <w:uiPriority w:val="10"/>
    <w:qFormat/>
    <w:rsid w:val="00B978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86C"/>
    <w:pPr>
      <w:spacing w:before="160"/>
      <w:jc w:val="center"/>
    </w:pPr>
    <w:rPr>
      <w:i/>
      <w:iCs/>
      <w:color w:val="404040" w:themeColor="text1" w:themeTint="BF"/>
    </w:rPr>
  </w:style>
  <w:style w:type="character" w:customStyle="1" w:styleId="QuoteChar">
    <w:name w:val="Quote Char"/>
    <w:basedOn w:val="DefaultParagraphFont"/>
    <w:link w:val="Quote"/>
    <w:uiPriority w:val="29"/>
    <w:rsid w:val="00B9786C"/>
    <w:rPr>
      <w:i/>
      <w:iCs/>
      <w:color w:val="404040" w:themeColor="text1" w:themeTint="BF"/>
    </w:rPr>
  </w:style>
  <w:style w:type="paragraph" w:styleId="ListParagraph">
    <w:name w:val="List Paragraph"/>
    <w:aliases w:val="Numbered List Paragraph,Dot pt,F5 List Paragraph,MAIN CONTENT,No Spacing1,List Paragraph Char Char Char,Indicator Text,Colorful List - Accent 11,Numbered Para 1,Bullet 1,Bullet Points,Evidence on Demand bullet points,List Paragraph12,L"/>
    <w:basedOn w:val="Normal"/>
    <w:link w:val="ListParagraphChar"/>
    <w:uiPriority w:val="34"/>
    <w:qFormat/>
    <w:rsid w:val="00B9786C"/>
    <w:pPr>
      <w:ind w:left="720"/>
      <w:contextualSpacing/>
    </w:pPr>
  </w:style>
  <w:style w:type="character" w:styleId="IntenseEmphasis">
    <w:name w:val="Intense Emphasis"/>
    <w:basedOn w:val="DefaultParagraphFont"/>
    <w:uiPriority w:val="21"/>
    <w:qFormat/>
    <w:rsid w:val="00B9786C"/>
    <w:rPr>
      <w:i/>
      <w:iCs/>
      <w:color w:val="2F5496" w:themeColor="accent1" w:themeShade="BF"/>
    </w:rPr>
  </w:style>
  <w:style w:type="paragraph" w:styleId="IntenseQuote">
    <w:name w:val="Intense Quote"/>
    <w:basedOn w:val="Normal"/>
    <w:next w:val="Normal"/>
    <w:link w:val="IntenseQuoteChar"/>
    <w:uiPriority w:val="30"/>
    <w:qFormat/>
    <w:rsid w:val="00B978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786C"/>
    <w:rPr>
      <w:i/>
      <w:iCs/>
      <w:color w:val="2F5496" w:themeColor="accent1" w:themeShade="BF"/>
    </w:rPr>
  </w:style>
  <w:style w:type="character" w:styleId="IntenseReference">
    <w:name w:val="Intense Reference"/>
    <w:basedOn w:val="DefaultParagraphFont"/>
    <w:uiPriority w:val="32"/>
    <w:qFormat/>
    <w:rsid w:val="00B9786C"/>
    <w:rPr>
      <w:b/>
      <w:bCs/>
      <w:smallCaps/>
      <w:color w:val="2F5496" w:themeColor="accent1" w:themeShade="BF"/>
      <w:spacing w:val="5"/>
    </w:rPr>
  </w:style>
  <w:style w:type="character" w:customStyle="1" w:styleId="ListParagraphChar">
    <w:name w:val="List Paragraph Char"/>
    <w:aliases w:val="Numbered List Paragraph Char,Dot pt Char,F5 List Paragraph Char,MAIN CONTENT Char,No Spacing1 Char,List Paragraph Char Char Char Char,Indicator Text Char,Colorful List - Accent 11 Char,Numbered Para 1 Char,Bullet 1 Char,L Char"/>
    <w:link w:val="ListParagraph"/>
    <w:uiPriority w:val="34"/>
    <w:qFormat/>
    <w:locked/>
    <w:rsid w:val="00B9786C"/>
  </w:style>
  <w:style w:type="paragraph" w:customStyle="1" w:styleId="Default">
    <w:name w:val="Default"/>
    <w:rsid w:val="00B9786C"/>
    <w:pPr>
      <w:autoSpaceDE w:val="0"/>
      <w:autoSpaceDN w:val="0"/>
      <w:adjustRightInd w:val="0"/>
      <w:spacing w:after="0" w:line="240" w:lineRule="auto"/>
    </w:pPr>
    <w:rPr>
      <w:rFonts w:ascii="Calibri" w:eastAsia="Calibri" w:hAnsi="Calibri" w:cs="Calibri"/>
      <w:color w:val="000000"/>
      <w:kern w:val="0"/>
      <w:sz w:val="24"/>
      <w:szCs w:val="24"/>
      <w:lang w:val="en-US" w:bidi="en-US"/>
      <w14:ligatures w14:val="none"/>
    </w:rPr>
  </w:style>
  <w:style w:type="paragraph" w:styleId="Header">
    <w:name w:val="header"/>
    <w:basedOn w:val="Normal"/>
    <w:link w:val="HeaderChar"/>
    <w:unhideWhenUsed/>
    <w:rsid w:val="00B9786C"/>
    <w:pPr>
      <w:tabs>
        <w:tab w:val="center" w:pos="4513"/>
        <w:tab w:val="right" w:pos="9026"/>
      </w:tabs>
    </w:pPr>
  </w:style>
  <w:style w:type="character" w:customStyle="1" w:styleId="HeaderChar">
    <w:name w:val="Header Char"/>
    <w:basedOn w:val="DefaultParagraphFont"/>
    <w:link w:val="Header"/>
    <w:rsid w:val="00B9786C"/>
    <w:rPr>
      <w:rFonts w:ascii="Times New Roman" w:eastAsia="Times New Roman" w:hAnsi="Times New Roman" w:cs="Times New Roman"/>
      <w:kern w:val="0"/>
      <w:sz w:val="24"/>
      <w:szCs w:val="24"/>
      <w:lang w:eastAsia="en-NG"/>
      <w14:ligatures w14:val="none"/>
    </w:rPr>
  </w:style>
  <w:style w:type="paragraph" w:styleId="Footer">
    <w:name w:val="footer"/>
    <w:basedOn w:val="Normal"/>
    <w:link w:val="FooterChar"/>
    <w:uiPriority w:val="99"/>
    <w:unhideWhenUsed/>
    <w:rsid w:val="00B9786C"/>
    <w:pPr>
      <w:tabs>
        <w:tab w:val="center" w:pos="4513"/>
        <w:tab w:val="right" w:pos="9026"/>
      </w:tabs>
    </w:pPr>
  </w:style>
  <w:style w:type="character" w:customStyle="1" w:styleId="FooterChar">
    <w:name w:val="Footer Char"/>
    <w:basedOn w:val="DefaultParagraphFont"/>
    <w:link w:val="Footer"/>
    <w:uiPriority w:val="99"/>
    <w:rsid w:val="00B9786C"/>
    <w:rPr>
      <w:rFonts w:ascii="Times New Roman" w:eastAsia="Times New Roman" w:hAnsi="Times New Roman" w:cs="Times New Roman"/>
      <w:kern w:val="0"/>
      <w:sz w:val="24"/>
      <w:szCs w:val="24"/>
      <w:lang w:eastAsia="en-NG"/>
      <w14:ligatures w14:val="none"/>
    </w:rPr>
  </w:style>
  <w:style w:type="table" w:customStyle="1" w:styleId="GridTable4-Accent61">
    <w:name w:val="Grid Table 4 - Accent 61"/>
    <w:basedOn w:val="TableNormal"/>
    <w:uiPriority w:val="49"/>
    <w:rsid w:val="00B9786C"/>
    <w:pPr>
      <w:spacing w:after="0" w:line="240" w:lineRule="auto"/>
    </w:pPr>
    <w:rPr>
      <w:kern w:val="0"/>
      <w:lang w:val="en-US"/>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1">
    <w:name w:val="Table Grid1"/>
    <w:basedOn w:val="TableNormal"/>
    <w:next w:val="TableGrid"/>
    <w:uiPriority w:val="39"/>
    <w:rsid w:val="00B9786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97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2850</Words>
  <Characters>16248</Characters>
  <Application>Microsoft Office Word</Application>
  <DocSecurity>0</DocSecurity>
  <Lines>135</Lines>
  <Paragraphs>38</Paragraphs>
  <ScaleCrop>false</ScaleCrop>
  <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O2MINING</dc:creator>
  <cp:keywords/>
  <dc:description/>
  <cp:lastModifiedBy>O2MINING</cp:lastModifiedBy>
  <cp:revision>1</cp:revision>
  <dcterms:created xsi:type="dcterms:W3CDTF">2026-09-10T15:31:00Z</dcterms:created>
  <dcterms:modified xsi:type="dcterms:W3CDTF">2026-09-10T15:39:00Z</dcterms:modified>
</cp:coreProperties>
</file>